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99A2E" w14:textId="5A7FDA08" w:rsidR="00FA554E" w:rsidRPr="00112E6D" w:rsidRDefault="00D5245D" w:rsidP="004024CE">
      <w:pPr>
        <w:pStyle w:val="Heading3"/>
      </w:pPr>
      <w:r>
        <w:t xml:space="preserve">Policy context </w:t>
      </w:r>
      <w:r w:rsidR="00452300" w:rsidRPr="00112E6D">
        <w:t>–</w:t>
      </w:r>
      <w:r>
        <w:t xml:space="preserve"> </w:t>
      </w:r>
      <w:r w:rsidR="00DA3BAD">
        <w:t xml:space="preserve">Government objectives </w:t>
      </w:r>
      <w:r w:rsidR="001169C2">
        <w:t xml:space="preserve">and </w:t>
      </w:r>
      <w:r>
        <w:t>initiatives</w:t>
      </w:r>
    </w:p>
    <w:p w14:paraId="540C9161" w14:textId="69554EF1" w:rsidR="00FA554E" w:rsidRDefault="00FA554E" w:rsidP="004024CE">
      <w:r w:rsidRPr="00112E6D">
        <w:t xml:space="preserve">Our activities support </w:t>
      </w:r>
      <w:r w:rsidR="0063220D">
        <w:t>the w</w:t>
      </w:r>
      <w:r w:rsidRPr="00112E6D">
        <w:t xml:space="preserve">elfare </w:t>
      </w:r>
      <w:r w:rsidR="0063220D">
        <w:t>r</w:t>
      </w:r>
      <w:r w:rsidRPr="00112E6D">
        <w:t>eform</w:t>
      </w:r>
      <w:r w:rsidR="0063220D">
        <w:t>s</w:t>
      </w:r>
      <w:r w:rsidRPr="00112E6D">
        <w:t xml:space="preserve"> and Our Future State: Advancing Queensland’s Priorities published by the Queensland Government. The Commission contributes specifically to the following </w:t>
      </w:r>
      <w:r w:rsidR="002A788A">
        <w:t>g</w:t>
      </w:r>
      <w:r w:rsidRPr="00112E6D">
        <w:t>overnment priorities:</w:t>
      </w:r>
    </w:p>
    <w:p w14:paraId="0B06BFC8" w14:textId="08C26FB6" w:rsidR="00C84396" w:rsidRDefault="0020211B" w:rsidP="004024CE">
      <w:r>
        <w:rPr>
          <w:noProof/>
        </w:rPr>
        <w:drawing>
          <wp:anchor distT="0" distB="0" distL="114300" distR="114300" simplePos="0" relativeHeight="251669504" behindDoc="0" locked="0" layoutInCell="1" allowOverlap="1" wp14:anchorId="2E6C48BD" wp14:editId="49CE84BD">
            <wp:simplePos x="0" y="0"/>
            <wp:positionH relativeFrom="margin">
              <wp:posOffset>-3810</wp:posOffset>
            </wp:positionH>
            <wp:positionV relativeFrom="paragraph">
              <wp:posOffset>188595</wp:posOffset>
            </wp:positionV>
            <wp:extent cx="5398770" cy="35617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0_gov.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8770" cy="3561715"/>
                    </a:xfrm>
                    <a:prstGeom prst="rect">
                      <a:avLst/>
                    </a:prstGeom>
                  </pic:spPr>
                </pic:pic>
              </a:graphicData>
            </a:graphic>
            <wp14:sizeRelH relativeFrom="margin">
              <wp14:pctWidth>0</wp14:pctWidth>
            </wp14:sizeRelH>
            <wp14:sizeRelV relativeFrom="margin">
              <wp14:pctHeight>0</wp14:pctHeight>
            </wp14:sizeRelV>
          </wp:anchor>
        </w:drawing>
      </w:r>
    </w:p>
    <w:p w14:paraId="641C6458" w14:textId="77777777" w:rsidR="0020211B" w:rsidRDefault="0020211B" w:rsidP="004024CE"/>
    <w:p w14:paraId="7CB099CA" w14:textId="5BF51466" w:rsidR="00FA554E" w:rsidRPr="00112E6D" w:rsidRDefault="00FA554E" w:rsidP="004024CE">
      <w:r w:rsidRPr="00112E6D">
        <w:t xml:space="preserve">Our activities specifically support </w:t>
      </w:r>
      <w:r w:rsidR="003B3051">
        <w:t xml:space="preserve">the </w:t>
      </w:r>
      <w:r w:rsidR="0087706B">
        <w:t>Department of Aboriginal and Torres Strait Islander Partnerships (</w:t>
      </w:r>
      <w:r w:rsidRPr="00112E6D">
        <w:t>DATSIP</w:t>
      </w:r>
      <w:r w:rsidR="0087706B">
        <w:t>)</w:t>
      </w:r>
      <w:r w:rsidRPr="00112E6D">
        <w:t xml:space="preserve"> which is the department responsible for promoting and monitoring the government’s progress in Closing the Gap on Aboriginal and Torres Strait Islander disadvantage. There are seven strategic areas for action established under the National Indigenous Reform Agreement for driving reform which the Commission addresses through its conferencing processes and participation in collaborative cross-agency partnerships:</w:t>
      </w:r>
    </w:p>
    <w:p w14:paraId="1E08C562" w14:textId="0B6397FC" w:rsidR="00FA554E" w:rsidRPr="00112E6D" w:rsidRDefault="00FA554E" w:rsidP="0008664C">
      <w:pPr>
        <w:pStyle w:val="ListBullet3"/>
        <w:ind w:left="924" w:hanging="357"/>
        <w:contextualSpacing w:val="0"/>
      </w:pPr>
      <w:r w:rsidRPr="00112E6D">
        <w:t xml:space="preserve">Early childhood – improving child and maternal health care, supporting good </w:t>
      </w:r>
      <w:proofErr w:type="gramStart"/>
      <w:r w:rsidRPr="00112E6D">
        <w:t>parenting</w:t>
      </w:r>
      <w:proofErr w:type="gramEnd"/>
      <w:r w:rsidRPr="00112E6D">
        <w:t xml:space="preserve"> and strengthening childhood education and care through early intervention</w:t>
      </w:r>
    </w:p>
    <w:p w14:paraId="518902C3" w14:textId="6A11E39D" w:rsidR="00FA554E" w:rsidRPr="00112E6D" w:rsidRDefault="00FA554E" w:rsidP="0008664C">
      <w:pPr>
        <w:pStyle w:val="ListBullet3"/>
        <w:ind w:left="924" w:hanging="357"/>
        <w:contextualSpacing w:val="0"/>
      </w:pPr>
      <w:r w:rsidRPr="00112E6D">
        <w:t xml:space="preserve">Schooling – supporting the improvement of literacy and numeracy levels and year 12 or equivalent attainment of children in our communities by providing guidance, </w:t>
      </w:r>
      <w:proofErr w:type="gramStart"/>
      <w:r w:rsidRPr="00112E6D">
        <w:t>encouragement</w:t>
      </w:r>
      <w:proofErr w:type="gramEnd"/>
      <w:r w:rsidRPr="00112E6D">
        <w:t xml:space="preserve"> and information to families on the requirement for children to attend school</w:t>
      </w:r>
    </w:p>
    <w:p w14:paraId="103BDB98" w14:textId="1CE55C57" w:rsidR="00FA554E" w:rsidRPr="00E86765" w:rsidRDefault="00FA554E" w:rsidP="00E86765">
      <w:pPr>
        <w:pStyle w:val="ListBullet3"/>
        <w:ind w:left="924" w:hanging="357"/>
        <w:contextualSpacing w:val="0"/>
      </w:pPr>
      <w:r w:rsidRPr="00112E6D">
        <w:t xml:space="preserve">Health – </w:t>
      </w:r>
      <w:r w:rsidR="005241B9">
        <w:t>l</w:t>
      </w:r>
      <w:r w:rsidR="00E86765" w:rsidRPr="00E86765">
        <w:t>inking clients to support services to address their health needs</w:t>
      </w:r>
    </w:p>
    <w:p w14:paraId="63640725" w14:textId="060A3021" w:rsidR="00FA554E" w:rsidRPr="00FE0373" w:rsidRDefault="00FA554E" w:rsidP="00FE0373">
      <w:pPr>
        <w:pStyle w:val="ListBullet3"/>
        <w:ind w:left="924" w:hanging="357"/>
        <w:contextualSpacing w:val="0"/>
      </w:pPr>
      <w:r w:rsidRPr="00112E6D">
        <w:t xml:space="preserve">Economic participation – </w:t>
      </w:r>
      <w:r w:rsidR="00FE0373" w:rsidRPr="00FE0373">
        <w:t>enabling clients to challenge complex behaviours presenting barriers to economic participation</w:t>
      </w:r>
    </w:p>
    <w:p w14:paraId="0F7307BC" w14:textId="77777777" w:rsidR="00FA554E" w:rsidRPr="00112E6D" w:rsidRDefault="00FA554E" w:rsidP="0008664C">
      <w:pPr>
        <w:pStyle w:val="ListBullet3"/>
        <w:ind w:left="924" w:hanging="357"/>
        <w:contextualSpacing w:val="0"/>
      </w:pPr>
      <w:r w:rsidRPr="00112E6D">
        <w:t>Safe communities – addressing the problem of violence, alcohol, criminal and anti-social behaviours</w:t>
      </w:r>
    </w:p>
    <w:p w14:paraId="59DE77F6" w14:textId="77777777" w:rsidR="00E15E0C" w:rsidRDefault="00E15E0C">
      <w:pPr>
        <w:spacing w:after="160" w:line="259" w:lineRule="auto"/>
        <w:rPr>
          <w:rFonts w:eastAsia="Times New Roman" w:cs="Times New Roman"/>
          <w:szCs w:val="24"/>
          <w:lang w:val="en-GB"/>
        </w:rPr>
      </w:pPr>
      <w:r>
        <w:br w:type="page"/>
      </w:r>
    </w:p>
    <w:p w14:paraId="4AFC8359" w14:textId="5295DA24" w:rsidR="00FA554E" w:rsidRPr="00112E6D" w:rsidRDefault="00FA554E" w:rsidP="0008664C">
      <w:pPr>
        <w:pStyle w:val="ListBullet3"/>
        <w:ind w:left="924" w:hanging="357"/>
        <w:contextualSpacing w:val="0"/>
      </w:pPr>
      <w:r w:rsidRPr="00112E6D">
        <w:lastRenderedPageBreak/>
        <w:t xml:space="preserve">Governance and leadership – enhancing government policies and systems to improve engagement mechanisms, </w:t>
      </w:r>
      <w:proofErr w:type="gramStart"/>
      <w:r w:rsidRPr="00112E6D">
        <w:t>developing</w:t>
      </w:r>
      <w:proofErr w:type="gramEnd"/>
      <w:r w:rsidRPr="00112E6D">
        <w:t xml:space="preserve"> and supporting community capacity and leadership and supporting the development of leadership for women and young people</w:t>
      </w:r>
    </w:p>
    <w:p w14:paraId="5447D52F" w14:textId="77777777" w:rsidR="00FA554E" w:rsidRPr="00112E6D" w:rsidRDefault="00FA554E" w:rsidP="0008664C">
      <w:pPr>
        <w:pStyle w:val="ListBullet3"/>
        <w:ind w:left="924" w:hanging="357"/>
        <w:contextualSpacing w:val="0"/>
      </w:pPr>
      <w:r w:rsidRPr="00112E6D">
        <w:t>Land and culture – promoting and affirming Aboriginal and Torres Strait Islander cultures.</w:t>
      </w:r>
    </w:p>
    <w:p w14:paraId="62CA3C78" w14:textId="237A54E8" w:rsidR="00FA554E" w:rsidRPr="00112E6D" w:rsidRDefault="00FA554E" w:rsidP="004024CE">
      <w:r w:rsidRPr="00112E6D">
        <w:t xml:space="preserve">The Commission delivers services to five communities, all of which are culturally unique and some of which are geographically remote. Each community is </w:t>
      </w:r>
      <w:proofErr w:type="gramStart"/>
      <w:r w:rsidRPr="00112E6D">
        <w:t>different,</w:t>
      </w:r>
      <w:proofErr w:type="gramEnd"/>
      <w:r w:rsidRPr="00112E6D">
        <w:t xml:space="preserve"> however, each can be characterised by the entrenched disadvantage of Indigenous community members. High rates of welfare dependency and multi-generational poverty have resulted in communities with high numbers of individuals and families with complex needs.</w:t>
      </w:r>
    </w:p>
    <w:p w14:paraId="037EC3FB" w14:textId="77777777" w:rsidR="00FA554E" w:rsidRPr="00112E6D" w:rsidRDefault="00FA554E" w:rsidP="004024CE">
      <w:r w:rsidRPr="00112E6D">
        <w:t xml:space="preserve">Our challenge is to work collaboratively with partner agencies, as part of a linked service system to engage, empower and enable individuals, </w:t>
      </w:r>
      <w:proofErr w:type="gramStart"/>
      <w:r w:rsidRPr="00112E6D">
        <w:t>families</w:t>
      </w:r>
      <w:proofErr w:type="gramEnd"/>
      <w:r w:rsidRPr="00112E6D">
        <w:t xml:space="preserve"> and the wider community to make positive and lasting change. In meeting this challenge the Commission acknowledges and complements several Queensland Government strategies and reforms such as:</w:t>
      </w:r>
    </w:p>
    <w:p w14:paraId="31311561" w14:textId="77777777" w:rsidR="00FA554E" w:rsidRPr="00112E6D" w:rsidRDefault="00FA554E" w:rsidP="00651C71">
      <w:pPr>
        <w:pStyle w:val="ListBullet3"/>
        <w:ind w:left="924" w:hanging="357"/>
        <w:contextualSpacing w:val="0"/>
      </w:pPr>
      <w:r w:rsidRPr="00112E6D">
        <w:t>the ‘Moving Ahead Strategy’, a whole-of-government strategy to improve Indigenous economic participation</w:t>
      </w:r>
    </w:p>
    <w:p w14:paraId="430DEF9F" w14:textId="0ED1CDE0" w:rsidR="00FA554E" w:rsidRPr="00112E6D" w:rsidRDefault="00FA554E" w:rsidP="00651C71">
      <w:pPr>
        <w:pStyle w:val="ListBullet3"/>
        <w:ind w:left="924" w:hanging="357"/>
        <w:contextualSpacing w:val="0"/>
      </w:pPr>
      <w:r w:rsidRPr="00112E6D">
        <w:t xml:space="preserve">the ‘Our Way </w:t>
      </w:r>
      <w:r w:rsidR="00AB5442">
        <w:t>S</w:t>
      </w:r>
      <w:r w:rsidRPr="00112E6D">
        <w:t>trategy’, initiated to address the over-representation of Indigenous children in Queensland’s child protection system</w:t>
      </w:r>
    </w:p>
    <w:p w14:paraId="08AE883F" w14:textId="77777777" w:rsidR="00FA554E" w:rsidRPr="00112E6D" w:rsidRDefault="00FA554E" w:rsidP="00651C71">
      <w:pPr>
        <w:pStyle w:val="ListBullet3"/>
        <w:ind w:left="924" w:hanging="357"/>
        <w:contextualSpacing w:val="0"/>
      </w:pPr>
      <w:r w:rsidRPr="00112E6D">
        <w:t>the ‘Changing Tracks’ action plan to build upon existing initiatives to ensure Indigenous children grow up in a safe and nurturing environment</w:t>
      </w:r>
    </w:p>
    <w:p w14:paraId="2AAD986D" w14:textId="77777777" w:rsidR="00FA554E" w:rsidRPr="00112E6D" w:rsidRDefault="00FA554E" w:rsidP="00651C71">
      <w:pPr>
        <w:pStyle w:val="ListBullet3"/>
        <w:ind w:left="924" w:hanging="357"/>
        <w:contextualSpacing w:val="0"/>
      </w:pPr>
      <w:r w:rsidRPr="00112E6D">
        <w:t>the ‘Tracks to Treaty’ commitment aimed at rebuilding the relationship between the Queensland Government and Indigenous peoples structured upon mutual respect, recognition and acknowledging a shared history and the right to self-determination</w:t>
      </w:r>
    </w:p>
    <w:p w14:paraId="60BD68A2" w14:textId="1FC43B84" w:rsidR="00FA554E" w:rsidRDefault="00FA554E" w:rsidP="00651C71">
      <w:pPr>
        <w:pStyle w:val="ListBullet3"/>
        <w:ind w:left="924" w:hanging="357"/>
        <w:contextualSpacing w:val="0"/>
      </w:pPr>
      <w:r w:rsidRPr="00112E6D">
        <w:t xml:space="preserve">the ‘Local Thriving Communities’ reform </w:t>
      </w:r>
      <w:r w:rsidR="00452300" w:rsidRPr="00112E6D">
        <w:t>–</w:t>
      </w:r>
      <w:r w:rsidRPr="00112E6D">
        <w:t xml:space="preserve"> reframing and reforming how the Queensland Government works with Indigenous communities to deliver better outcomes</w:t>
      </w:r>
    </w:p>
    <w:p w14:paraId="4B7C8B73" w14:textId="2A0F674C" w:rsidR="001973F5" w:rsidRPr="00112E6D" w:rsidRDefault="00CC520E" w:rsidP="00651C71">
      <w:pPr>
        <w:pStyle w:val="ListBullet3"/>
        <w:ind w:left="924" w:hanging="357"/>
        <w:contextualSpacing w:val="0"/>
      </w:pPr>
      <w:r>
        <w:t xml:space="preserve">the </w:t>
      </w:r>
      <w:r w:rsidR="00E81858" w:rsidRPr="00997E9C">
        <w:t xml:space="preserve">Queensland </w:t>
      </w:r>
      <w:r w:rsidR="001973F5" w:rsidRPr="00997E9C">
        <w:t>Indigenous Procurement Policy</w:t>
      </w:r>
      <w:r w:rsidR="00E81858" w:rsidRPr="00997E9C">
        <w:t>,</w:t>
      </w:r>
      <w:r w:rsidR="00997E9C" w:rsidRPr="00997E9C">
        <w:t xml:space="preserve"> providing a whole-of-government framework to increase procurement with Indigenous businesses to grow and develop a diverse and sustainable Indigenous business sector</w:t>
      </w:r>
      <w:r w:rsidR="00E81858" w:rsidRPr="00997E9C">
        <w:t xml:space="preserve"> </w:t>
      </w:r>
      <w:r w:rsidR="00997E9C" w:rsidRPr="00997E9C">
        <w:t>and improve employment outcomes and opportunities for A</w:t>
      </w:r>
      <w:r w:rsidR="008A14F4">
        <w:t xml:space="preserve">boriginal and </w:t>
      </w:r>
      <w:r w:rsidR="00997E9C">
        <w:t>T</w:t>
      </w:r>
      <w:r w:rsidR="008A14F4">
        <w:t xml:space="preserve">orres </w:t>
      </w:r>
      <w:r w:rsidR="00997E9C">
        <w:t>S</w:t>
      </w:r>
      <w:r w:rsidR="008A14F4">
        <w:t xml:space="preserve">trait </w:t>
      </w:r>
      <w:r w:rsidR="00997E9C">
        <w:t>I</w:t>
      </w:r>
      <w:r w:rsidR="008A14F4">
        <w:t>slander</w:t>
      </w:r>
      <w:r w:rsidR="00997E9C" w:rsidRPr="00997E9C">
        <w:t xml:space="preserve"> peoples</w:t>
      </w:r>
      <w:r w:rsidR="00997E9C">
        <w:t>.</w:t>
      </w:r>
    </w:p>
    <w:p w14:paraId="5D64034A" w14:textId="3A224EEF" w:rsidR="00FA554E" w:rsidRPr="003D4370" w:rsidRDefault="00FA554E" w:rsidP="004024CE">
      <w:r w:rsidRPr="00112E6D">
        <w:t>The Commission interacts with the above strategies and reforms</w:t>
      </w:r>
      <w:r w:rsidR="002A788A">
        <w:t xml:space="preserve"> through local </w:t>
      </w:r>
      <w:r w:rsidR="009B1D53">
        <w:t>d</w:t>
      </w:r>
      <w:r w:rsidR="002A788A">
        <w:t>ecision</w:t>
      </w:r>
      <w:r w:rsidR="00DD614C">
        <w:t>-</w:t>
      </w:r>
      <w:r w:rsidR="002A788A">
        <w:t>making</w:t>
      </w:r>
      <w:r w:rsidRPr="00112E6D">
        <w:t xml:space="preserve"> by referring individuals to public services, assisting community members to gain benefits from available </w:t>
      </w:r>
      <w:r w:rsidRPr="003D4370">
        <w:t>opportunities and improving student transitions to education.</w:t>
      </w:r>
      <w:r w:rsidR="0087018D" w:rsidRPr="003D4370">
        <w:t xml:space="preserve"> Over 70 percent of the Commission’s annual budget </w:t>
      </w:r>
      <w:r w:rsidR="00D80CD1" w:rsidRPr="003D4370">
        <w:t>(refer page 3</w:t>
      </w:r>
      <w:r w:rsidR="00B41373">
        <w:t>1</w:t>
      </w:r>
      <w:r w:rsidR="00D80CD1" w:rsidRPr="003D4370">
        <w:t xml:space="preserve">) </w:t>
      </w:r>
      <w:r w:rsidR="0087018D" w:rsidRPr="003D4370">
        <w:t xml:space="preserve">is allocated to community operations and conference facilitation, supporting </w:t>
      </w:r>
      <w:r w:rsidR="00D80CD1" w:rsidRPr="003D4370">
        <w:t>the Moving Ahead Strategy</w:t>
      </w:r>
      <w:r w:rsidR="003E732C" w:rsidRPr="003D4370">
        <w:t>,</w:t>
      </w:r>
      <w:r w:rsidR="00D80CD1" w:rsidRPr="003D4370">
        <w:t xml:space="preserve"> Queensland’s Indigenous Procurement </w:t>
      </w:r>
      <w:proofErr w:type="gramStart"/>
      <w:r w:rsidR="00D80CD1" w:rsidRPr="003D4370">
        <w:t>Policy</w:t>
      </w:r>
      <w:proofErr w:type="gramEnd"/>
      <w:r w:rsidR="00D80CD1" w:rsidRPr="003D4370">
        <w:t xml:space="preserve"> and</w:t>
      </w:r>
      <w:r w:rsidR="003E732C" w:rsidRPr="003D4370">
        <w:t xml:space="preserve"> local and regional economies</w:t>
      </w:r>
      <w:r w:rsidR="0087018D" w:rsidRPr="003D4370">
        <w:t xml:space="preserve">. </w:t>
      </w:r>
    </w:p>
    <w:p w14:paraId="79DA9C5F" w14:textId="5C4C4CE8" w:rsidR="00676F6E" w:rsidRDefault="00676F6E" w:rsidP="00676F6E">
      <w:r w:rsidRPr="003D4370">
        <w:t>The Commission has adopted a strategic plan which clearly defines the strategic outcomes sought by the Commission</w:t>
      </w:r>
      <w:r w:rsidR="004F6187" w:rsidRPr="003D4370">
        <w:t xml:space="preserve"> together with objectives and strategies it will employ to </w:t>
      </w:r>
      <w:r w:rsidR="00ED0E3C" w:rsidRPr="003D4370">
        <w:t>achieve</w:t>
      </w:r>
      <w:r w:rsidR="004F6187" w:rsidRPr="003D4370">
        <w:t xml:space="preserve"> its objectives</w:t>
      </w:r>
      <w:r w:rsidRPr="003D4370">
        <w:t>.</w:t>
      </w:r>
      <w:r w:rsidR="004F6187" w:rsidRPr="003D4370">
        <w:t xml:space="preserve"> The</w:t>
      </w:r>
      <w:r w:rsidRPr="003D4370">
        <w:t xml:space="preserve"> Commission’s </w:t>
      </w:r>
      <w:r w:rsidR="004F6187" w:rsidRPr="003D4370">
        <w:t>strategic plan</w:t>
      </w:r>
      <w:r w:rsidRPr="003D4370">
        <w:t xml:space="preserve"> is consistent with and guided by current whole-of-government priorities</w:t>
      </w:r>
      <w:r w:rsidR="004F6187" w:rsidRPr="003D4370">
        <w:t xml:space="preserve">. The strategic plan is reviewed on an annual basis and can </w:t>
      </w:r>
      <w:r w:rsidRPr="003D4370">
        <w:t xml:space="preserve">be found </w:t>
      </w:r>
      <w:r w:rsidR="004F6187" w:rsidRPr="003D4370">
        <w:t>at</w:t>
      </w:r>
      <w:r w:rsidRPr="003D4370">
        <w:t xml:space="preserve"> </w:t>
      </w:r>
      <w:r w:rsidR="004565CF">
        <w:t>A</w:t>
      </w:r>
      <w:r w:rsidRPr="003D4370">
        <w:t>ppendix</w:t>
      </w:r>
      <w:r w:rsidR="004F6187" w:rsidRPr="003D4370">
        <w:t xml:space="preserve"> </w:t>
      </w:r>
      <w:r w:rsidR="00CC6716">
        <w:t>A</w:t>
      </w:r>
      <w:r w:rsidRPr="003D4370">
        <w:t>.</w:t>
      </w:r>
    </w:p>
    <w:p w14:paraId="7308961B" w14:textId="77777777" w:rsidR="00E15E0C" w:rsidRDefault="00E15E0C">
      <w:pPr>
        <w:spacing w:after="160" w:line="259" w:lineRule="auto"/>
        <w:rPr>
          <w:rFonts w:eastAsiaTheme="majorEastAsia" w:cstheme="majorBidi"/>
          <w:b/>
          <w:sz w:val="24"/>
          <w:szCs w:val="24"/>
          <w:lang w:val="en-GB"/>
        </w:rPr>
      </w:pPr>
      <w:r>
        <w:rPr>
          <w:lang w:val="en-GB"/>
        </w:rPr>
        <w:br w:type="page"/>
      </w:r>
    </w:p>
    <w:p w14:paraId="30D924A8" w14:textId="46ACECE3" w:rsidR="00FA554E" w:rsidRPr="004E2074" w:rsidRDefault="00941584" w:rsidP="004024CE">
      <w:pPr>
        <w:pStyle w:val="Heading3"/>
        <w:rPr>
          <w:lang w:val="en-GB"/>
        </w:rPr>
      </w:pPr>
      <w:r>
        <w:rPr>
          <w:lang w:val="en-GB"/>
        </w:rPr>
        <w:lastRenderedPageBreak/>
        <w:t>Performance</w:t>
      </w:r>
      <w:r w:rsidR="00FA554E" w:rsidRPr="004E2074">
        <w:rPr>
          <w:lang w:val="en-GB"/>
        </w:rPr>
        <w:t xml:space="preserve"> highlights</w:t>
      </w:r>
    </w:p>
    <w:p w14:paraId="1560085E" w14:textId="77777777" w:rsidR="00FA554E" w:rsidRPr="004E2074" w:rsidRDefault="00FA554E" w:rsidP="004024CE">
      <w:r w:rsidRPr="004E2074">
        <w:t>The following report details our performance for the period 1 July 2019 to 30 June 2020.</w:t>
      </w:r>
    </w:p>
    <w:p w14:paraId="202DAEA1" w14:textId="2B4BD0B7" w:rsidR="00FA554E" w:rsidRPr="004E2074" w:rsidRDefault="00FA554E" w:rsidP="004024CE">
      <w:r w:rsidRPr="004E2074">
        <w:t xml:space="preserve">The 2019-20 year has been a period of intense growth and development. Having gained some certainty surrounding the immediate future of the </w:t>
      </w:r>
      <w:r>
        <w:t>Commission</w:t>
      </w:r>
      <w:r w:rsidRPr="004E2074">
        <w:t xml:space="preserve"> with the appointment of Commissioner Tammy Williams as the new FRC Commission</w:t>
      </w:r>
      <w:r>
        <w:t>er</w:t>
      </w:r>
      <w:r w:rsidRPr="004E2074">
        <w:t xml:space="preserve"> in September 2019, the reappointment of Local Commissioners until 30 June 2020, and the </w:t>
      </w:r>
      <w:r w:rsidR="00AB3FBA">
        <w:t>executi</w:t>
      </w:r>
      <w:r w:rsidR="008B398F">
        <w:t>on</w:t>
      </w:r>
      <w:r w:rsidR="00AB3FBA" w:rsidRPr="004E2074">
        <w:t xml:space="preserve"> </w:t>
      </w:r>
      <w:r w:rsidRPr="004E2074">
        <w:t xml:space="preserve">of a Memorandum of Understanding </w:t>
      </w:r>
      <w:r w:rsidR="00C30F77">
        <w:t xml:space="preserve">(MOU) </w:t>
      </w:r>
      <w:r w:rsidRPr="004E2074">
        <w:t xml:space="preserve">in December 2019 committing funding for the operations of the Commission until 30 June 2021, the Local Commissioners and </w:t>
      </w:r>
      <w:r w:rsidR="00441D88">
        <w:t>r</w:t>
      </w:r>
      <w:r w:rsidRPr="004E2074">
        <w:t>egistry staff have redoubled their efforts to support FRC clients and their communities.</w:t>
      </w:r>
    </w:p>
    <w:p w14:paraId="13911DF9" w14:textId="2C08C825" w:rsidR="00FA554E" w:rsidRPr="004E2074" w:rsidRDefault="00FA554E" w:rsidP="004024CE">
      <w:proofErr w:type="gramStart"/>
      <w:r>
        <w:t>A</w:t>
      </w:r>
      <w:r w:rsidRPr="004E2074">
        <w:t xml:space="preserve"> number of</w:t>
      </w:r>
      <w:proofErr w:type="gramEnd"/>
      <w:r w:rsidRPr="004E2074">
        <w:t xml:space="preserve"> strategic and operational changes </w:t>
      </w:r>
      <w:r>
        <w:t xml:space="preserve">were implemented </w:t>
      </w:r>
      <w:r w:rsidRPr="004E2074">
        <w:t xml:space="preserve">which have enabled the Commission to improve operational performance in a number of areas. A quarterly process of internal audit, review and the setting of performance measures has been developed and introduced as a vital tool to provide insight into operational effectiveness, identify risks and maintain accountability as we strive to improve outcomes for Commission clients. Data collection and analysis provided the Commission as a whole, and individual communities, with information on their performance across </w:t>
      </w:r>
      <w:r>
        <w:t>several</w:t>
      </w:r>
      <w:r w:rsidRPr="004E2074">
        <w:t xml:space="preserve"> key metrics including conferencing and outcomes. The information has been instrumental in allowing Local Commissioners to identify priorities for their communities, </w:t>
      </w:r>
      <w:proofErr w:type="gramStart"/>
      <w:r w:rsidRPr="004E2074">
        <w:t>training</w:t>
      </w:r>
      <w:proofErr w:type="gramEnd"/>
      <w:r w:rsidRPr="004E2074">
        <w:t xml:space="preserve"> and development requirements and in assisting registry staff and </w:t>
      </w:r>
      <w:r w:rsidR="00D63EF4">
        <w:t xml:space="preserve">Local </w:t>
      </w:r>
      <w:r w:rsidRPr="004E2074">
        <w:t>Registry Coordinators to better understand how to support Commissioners and clients.</w:t>
      </w:r>
    </w:p>
    <w:p w14:paraId="413797DF" w14:textId="109541D4" w:rsidR="00FA554E" w:rsidRPr="004E2074" w:rsidRDefault="00FA554E" w:rsidP="004024CE">
      <w:r>
        <w:t xml:space="preserve">Another </w:t>
      </w:r>
      <w:r w:rsidRPr="004E2074">
        <w:t>new operational strateg</w:t>
      </w:r>
      <w:r>
        <w:t>y</w:t>
      </w:r>
      <w:r w:rsidRPr="004E2074">
        <w:t xml:space="preserve"> </w:t>
      </w:r>
      <w:r>
        <w:t>was</w:t>
      </w:r>
      <w:r w:rsidRPr="004E2074">
        <w:t xml:space="preserve"> the development of community action plans. </w:t>
      </w:r>
      <w:r w:rsidR="00D63EF4">
        <w:t xml:space="preserve">Local </w:t>
      </w:r>
      <w:r w:rsidRPr="004E2074">
        <w:t xml:space="preserve">Registry Coordinators and Local Commissioners have used data dashboards provided by the </w:t>
      </w:r>
      <w:r w:rsidR="00441D88">
        <w:t>r</w:t>
      </w:r>
      <w:r w:rsidRPr="004E2074">
        <w:t>egistry</w:t>
      </w:r>
      <w:r>
        <w:t>,</w:t>
      </w:r>
      <w:r w:rsidRPr="004E2074">
        <w:t xml:space="preserve"> along with their own knowledge and local priorities</w:t>
      </w:r>
      <w:r>
        <w:t>,</w:t>
      </w:r>
      <w:r w:rsidRPr="004E2074">
        <w:t xml:space="preserve"> to develop comprehensive strategies to enhance the impact of conferencing and to better support clients through an increased emphasis on referrals to support services.</w:t>
      </w:r>
      <w:r>
        <w:t xml:space="preserve"> </w:t>
      </w:r>
      <w:r w:rsidRPr="004E2074">
        <w:t>A significant part of the community action plans included a stocktake of stakeholders and service providers in each community. This has been invaluable in identifying service gaps, possible new service providers and in the context of responding to the COVID-19 pandemic, having a good understanding of which services were available to clients.</w:t>
      </w:r>
    </w:p>
    <w:p w14:paraId="0CCA2B9E" w14:textId="77777777" w:rsidR="00FA554E" w:rsidRPr="004E2074" w:rsidRDefault="00FA554E" w:rsidP="004024CE">
      <w:r w:rsidRPr="004E2074">
        <w:t xml:space="preserve">In line with a new focus on timely decision making, in January 2020 new practice directions </w:t>
      </w:r>
      <w:r>
        <w:t>addressing</w:t>
      </w:r>
      <w:r w:rsidRPr="004E2074">
        <w:t xml:space="preserve"> the use of rescheduled and adjourned conferences were issued. Local Commissioners quickly adopted the new processes which operationalise a more targeted conference timetable. The change has resulted in matters being determined in a timely </w:t>
      </w:r>
      <w:proofErr w:type="gramStart"/>
      <w:r w:rsidRPr="004E2074">
        <w:t>manner, and</w:t>
      </w:r>
      <w:proofErr w:type="gramEnd"/>
      <w:r w:rsidRPr="004E2074">
        <w:t xml:space="preserve"> lessened the number of times clients are being conference</w:t>
      </w:r>
      <w:r>
        <w:t>d in regard to</w:t>
      </w:r>
      <w:r w:rsidRPr="004E2074">
        <w:t xml:space="preserve"> the same issue.</w:t>
      </w:r>
    </w:p>
    <w:p w14:paraId="42F80B90" w14:textId="3E03460F" w:rsidR="00FA554E" w:rsidRPr="004E2074" w:rsidRDefault="00FA554E" w:rsidP="004024CE">
      <w:bookmarkStart w:id="0" w:name="_Hlk44665132"/>
      <w:r w:rsidRPr="004E2074">
        <w:t xml:space="preserve">Shortly before the end of the 2019-20 financial year, new practice directions and guidelines for the use of </w:t>
      </w:r>
      <w:r w:rsidR="00CF6757">
        <w:t>FRAs</w:t>
      </w:r>
      <w:r w:rsidRPr="004E2074">
        <w:t xml:space="preserve"> and </w:t>
      </w:r>
      <w:r w:rsidR="00402CB4">
        <w:t>s</w:t>
      </w:r>
      <w:r w:rsidRPr="004E2074">
        <w:t xml:space="preserve">how </w:t>
      </w:r>
      <w:proofErr w:type="gramStart"/>
      <w:r w:rsidR="00402CB4">
        <w:t>c</w:t>
      </w:r>
      <w:r w:rsidRPr="004E2074">
        <w:t>ause</w:t>
      </w:r>
      <w:proofErr w:type="gramEnd"/>
      <w:r w:rsidRPr="004E2074">
        <w:t xml:space="preserve"> conferences were developed. The FRC anticipates data showing the effects of these new practice directions on conference outcomes to be available over the next two quarters.</w:t>
      </w:r>
    </w:p>
    <w:bookmarkEnd w:id="0"/>
    <w:p w14:paraId="40E071DF" w14:textId="48B77AC8" w:rsidR="00FA554E" w:rsidRPr="004E2074" w:rsidRDefault="00FA554E" w:rsidP="004024CE">
      <w:r w:rsidRPr="004E2074">
        <w:t xml:space="preserve">The </w:t>
      </w:r>
      <w:r w:rsidR="00441D88">
        <w:t>r</w:t>
      </w:r>
      <w:r w:rsidRPr="004E2074">
        <w:t xml:space="preserve">egistry’s standard practice of cross-training employees across a variety of roles proved beneficial as staff resources were </w:t>
      </w:r>
      <w:r>
        <w:t>stretched</w:t>
      </w:r>
      <w:r w:rsidRPr="004E2074">
        <w:t xml:space="preserve"> to m</w:t>
      </w:r>
      <w:r>
        <w:t>eet</w:t>
      </w:r>
      <w:r w:rsidRPr="004E2074">
        <w:t xml:space="preserve"> the challenge</w:t>
      </w:r>
      <w:r>
        <w:t xml:space="preserve"> of operating in the COVID-19 environment and during the </w:t>
      </w:r>
      <w:r w:rsidRPr="004E2074">
        <w:t xml:space="preserve">Aurukun </w:t>
      </w:r>
      <w:r>
        <w:t>‘</w:t>
      </w:r>
      <w:r w:rsidRPr="004E2074">
        <w:t>crisis</w:t>
      </w:r>
      <w:r>
        <w:t>’</w:t>
      </w:r>
      <w:r w:rsidRPr="004E2074">
        <w:t xml:space="preserve">. </w:t>
      </w:r>
      <w:r>
        <w:t>T</w:t>
      </w:r>
      <w:r w:rsidRPr="004E2074">
        <w:t>he workload redistribution provid</w:t>
      </w:r>
      <w:r>
        <w:t>ed</w:t>
      </w:r>
      <w:r w:rsidRPr="004E2074">
        <w:t xml:space="preserve"> training opportunities for employees </w:t>
      </w:r>
      <w:r>
        <w:t xml:space="preserve">to upskill </w:t>
      </w:r>
      <w:r w:rsidRPr="004E2074">
        <w:t>and evidence</w:t>
      </w:r>
      <w:r>
        <w:t>d</w:t>
      </w:r>
      <w:r w:rsidRPr="004E2074">
        <w:t xml:space="preserve"> the Commission’s commitment to ensuring an agile, high performing and innovative workforce capable of delivering flexible, </w:t>
      </w:r>
      <w:proofErr w:type="gramStart"/>
      <w:r w:rsidRPr="004E2074">
        <w:t>effective</w:t>
      </w:r>
      <w:proofErr w:type="gramEnd"/>
      <w:r w:rsidRPr="004E2074">
        <w:t xml:space="preserve"> and efficient services</w:t>
      </w:r>
      <w:r>
        <w:t>,</w:t>
      </w:r>
      <w:r w:rsidRPr="004E2074">
        <w:t xml:space="preserve"> even during times of crisis.</w:t>
      </w:r>
    </w:p>
    <w:p w14:paraId="7D7D5AB0" w14:textId="0133E2F3" w:rsidR="00FA554E" w:rsidRPr="004E2074" w:rsidRDefault="00FA554E" w:rsidP="004024CE">
      <w:r w:rsidRPr="004E2074">
        <w:t xml:space="preserve">In June 2020 the Commission was informed </w:t>
      </w:r>
      <w:r w:rsidR="00FD60C5">
        <w:t>by</w:t>
      </w:r>
      <w:r w:rsidRPr="004E2074">
        <w:t xml:space="preserve"> reports from Aurukun that the increase to certain welfare payments coupled with restricted activity and movements due to COVID-19 had resulted in a notable increase in gambling. Of greater concern was information received that </w:t>
      </w:r>
      <w:r w:rsidRPr="004E2074">
        <w:lastRenderedPageBreak/>
        <w:t>children were also attending and engaging in gambling circles, in some cases with adult encouragement, and in others, conducting their own gambling activities with significant sums of money in the ‘pot’. Further information was received that the gambling was impacting school attendance and that some children who did turn up to class were struggling with having had very little sleep. Commissioner Williams wrote to the FR Board informing them of the concerns raised.</w:t>
      </w:r>
      <w:r>
        <w:t xml:space="preserve"> </w:t>
      </w:r>
      <w:r w:rsidRPr="00FB5724">
        <w:t xml:space="preserve">Dr Chris </w:t>
      </w:r>
      <w:proofErr w:type="spellStart"/>
      <w:r w:rsidRPr="00FB5724">
        <w:t>Sar</w:t>
      </w:r>
      <w:r w:rsidR="00964BFD">
        <w:t>r</w:t>
      </w:r>
      <w:r w:rsidRPr="00FB5724">
        <w:t>a</w:t>
      </w:r>
      <w:proofErr w:type="spellEnd"/>
      <w:r w:rsidRPr="00FB5724">
        <w:t xml:space="preserve"> (Director General of </w:t>
      </w:r>
      <w:r w:rsidR="001D4E88">
        <w:t>DATSIP</w:t>
      </w:r>
      <w:r>
        <w:t xml:space="preserve"> and Chair of the FR Board</w:t>
      </w:r>
      <w:r w:rsidRPr="00FB5724">
        <w:t xml:space="preserve">) </w:t>
      </w:r>
      <w:r w:rsidR="003B6ECE">
        <w:t>responded</w:t>
      </w:r>
      <w:r w:rsidRPr="00FB5724">
        <w:t xml:space="preserve"> </w:t>
      </w:r>
      <w:r w:rsidR="003B6ECE">
        <w:t>and</w:t>
      </w:r>
      <w:r w:rsidRPr="00FB5724">
        <w:t xml:space="preserve"> advise</w:t>
      </w:r>
      <w:r w:rsidR="003B6ECE">
        <w:t>d</w:t>
      </w:r>
      <w:r w:rsidRPr="00FB5724">
        <w:t xml:space="preserve"> of a working group convened to address the issue and acknowledged the limited ability for the </w:t>
      </w:r>
      <w:r>
        <w:t>Commission</w:t>
      </w:r>
      <w:r w:rsidRPr="00FB5724">
        <w:t xml:space="preserve"> to act due to the disconnect between gambling and the agency notices received by the Commission.</w:t>
      </w:r>
    </w:p>
    <w:p w14:paraId="4D0D1A9B" w14:textId="453C682F" w:rsidR="00FA554E" w:rsidRPr="004E2074" w:rsidRDefault="00FA554E" w:rsidP="004024CE">
      <w:r w:rsidRPr="004E2074">
        <w:t xml:space="preserve">A further significant community issue </w:t>
      </w:r>
      <w:r>
        <w:t>arose during the reporting period</w:t>
      </w:r>
      <w:r w:rsidRPr="004E2074">
        <w:t xml:space="preserve"> in Doomadgee following the lifting of restrictions on the sale of normal unleaded petrol at the Doomadgee Roadhouse. An increased number of </w:t>
      </w:r>
      <w:r w:rsidR="003B6ECE">
        <w:t>C</w:t>
      </w:r>
      <w:r w:rsidRPr="004E2074">
        <w:t xml:space="preserve">hild </w:t>
      </w:r>
      <w:r w:rsidR="003B6ECE">
        <w:t>C</w:t>
      </w:r>
      <w:r w:rsidRPr="004E2074">
        <w:t xml:space="preserve">oncern </w:t>
      </w:r>
      <w:r w:rsidR="003B6ECE">
        <w:t>R</w:t>
      </w:r>
      <w:r w:rsidRPr="004E2074">
        <w:t>eports relating to petrol sniffing have been received by the Commission in the second half of the financial year. A review of the reports is being undertaken with a view to dedicating a full three-day conference sitting to address the problem.</w:t>
      </w:r>
    </w:p>
    <w:p w14:paraId="0AC29224" w14:textId="56B43A6B" w:rsidR="00FA554E" w:rsidRPr="004E2074" w:rsidRDefault="00FA554E" w:rsidP="004024CE">
      <w:r w:rsidRPr="004E2074">
        <w:t xml:space="preserve">A key performance indicator supporting the FRC Act’s object of restoring local authority is the proportion of conferences that are held with Local Commissioners sitting alone. </w:t>
      </w:r>
      <w:r>
        <w:t>This fiscal year</w:t>
      </w:r>
      <w:r w:rsidRPr="004E2074">
        <w:t xml:space="preserve"> 94.3 percent of conferences were held with three Local Commissioners presiding. Commissioner Williams performed a significant support role, travelling extensively to FRC communities (prior to imposed </w:t>
      </w:r>
      <w:r w:rsidR="00675EF0">
        <w:t xml:space="preserve">COVID-19 </w:t>
      </w:r>
      <w:r w:rsidRPr="004E2074">
        <w:t>travel restrictions) to support and guide the Local Commissioners in their decision-making and in adapting to new processes and priorities.</w:t>
      </w:r>
    </w:p>
    <w:p w14:paraId="656D1CC8" w14:textId="0B1D4D80" w:rsidR="00FA554E" w:rsidRPr="004E2074" w:rsidRDefault="00FA554E" w:rsidP="004024CE">
      <w:r w:rsidRPr="004E2074">
        <w:t>Whilst the travel restrictions may have provided a barrier to service delivery in some communities, it also provided an opportunity for some providers to catch up on outstanding reports to the Commission on the progress of clients on FRC case plan referrals. Unfortunately, due to the limitations on services available, information on engagement and progress was scant</w:t>
      </w:r>
      <w:r w:rsidR="00D53C63">
        <w:t xml:space="preserve"> and </w:t>
      </w:r>
      <w:r w:rsidR="001F3C88">
        <w:t xml:space="preserve">this lack of reporting </w:t>
      </w:r>
      <w:r w:rsidR="00CB1DCB">
        <w:t xml:space="preserve">has risked </w:t>
      </w:r>
      <w:r w:rsidR="00D53C63">
        <w:t>the effectiveness of case plan referrals and early intervention support for clients</w:t>
      </w:r>
      <w:r w:rsidR="00CB1DCB">
        <w:t xml:space="preserve"> during this period</w:t>
      </w:r>
      <w:r w:rsidRPr="004E2074">
        <w:t xml:space="preserve">. The Commission looks forward to </w:t>
      </w:r>
      <w:r w:rsidR="00D53C63">
        <w:t xml:space="preserve">receiving </w:t>
      </w:r>
      <w:r w:rsidRPr="004E2074">
        <w:t xml:space="preserve">more detailed reporting </w:t>
      </w:r>
      <w:r w:rsidR="00D53C63">
        <w:t xml:space="preserve">from referral partners </w:t>
      </w:r>
      <w:r w:rsidRPr="004E2074">
        <w:t>when the delivery of support services returns to normal.</w:t>
      </w:r>
    </w:p>
    <w:p w14:paraId="4322C2ED" w14:textId="77777777" w:rsidR="00322BAB" w:rsidRDefault="00322BAB" w:rsidP="00901E4A"/>
    <w:p w14:paraId="6DCBAAC8" w14:textId="728A6A73" w:rsidR="00FA554E" w:rsidRPr="004E2074" w:rsidRDefault="00FA554E" w:rsidP="004024CE">
      <w:pPr>
        <w:pStyle w:val="Heading3"/>
      </w:pPr>
      <w:r w:rsidRPr="004E2074">
        <w:t>School attendance</w:t>
      </w:r>
    </w:p>
    <w:p w14:paraId="14C317CC" w14:textId="556E4FED" w:rsidR="006E09FC" w:rsidRDefault="006E09FC" w:rsidP="006E09FC">
      <w:bookmarkStart w:id="1" w:name="_Hlk14878185"/>
      <w:r>
        <w:t xml:space="preserve">School attendance across the communities was significantly affected this year by the impact of COVID-19. From </w:t>
      </w:r>
      <w:r w:rsidR="00760693">
        <w:t>T</w:t>
      </w:r>
      <w:r>
        <w:t xml:space="preserve">erm 2 the State Government determined that the physical attendance of staff at school should be minimised and transitioned from </w:t>
      </w:r>
      <w:r w:rsidRPr="00F016BE">
        <w:t>the traditional model of schooling to remote learning</w:t>
      </w:r>
      <w:r>
        <w:t xml:space="preserve"> with a modified curriculum</w:t>
      </w:r>
      <w:r w:rsidRPr="00F016BE">
        <w:t xml:space="preserve">, supplemented where feasible by on-line learning. </w:t>
      </w:r>
      <w:r>
        <w:t>Teachers and required staff attended school campuses, along with vulnerable students and the children of essential workers. Many families experienced significant personal and social stress during the pandemic and elected not to send their children to school.</w:t>
      </w:r>
    </w:p>
    <w:p w14:paraId="1B74B9D7" w14:textId="63BA7925" w:rsidR="006E09FC" w:rsidRDefault="006E09FC" w:rsidP="006E09FC">
      <w:r>
        <w:t>Aurukun school attendance was also significantly affected by community unrest which occurred in January 2020, with many families displaced from Aurukun. A</w:t>
      </w:r>
      <w:r w:rsidRPr="003100A2">
        <w:t>pproximately 25</w:t>
      </w:r>
      <w:r>
        <w:t xml:space="preserve"> percent</w:t>
      </w:r>
      <w:r w:rsidRPr="003100A2">
        <w:t xml:space="preserve"> of the school population</w:t>
      </w:r>
      <w:r>
        <w:t xml:space="preserve"> was</w:t>
      </w:r>
      <w:r w:rsidRPr="003100A2">
        <w:t xml:space="preserve"> no longer resident in Aurukun, but still present on the roll and report</w:t>
      </w:r>
      <w:r w:rsidR="006E13E8">
        <w:t>ed</w:t>
      </w:r>
      <w:r w:rsidRPr="003100A2">
        <w:t xml:space="preserve"> as absent. A large workload was handled by a range of agencies led by DATSIP to en</w:t>
      </w:r>
      <w:r>
        <w:t>courage displaced children to be enrolled in local schools</w:t>
      </w:r>
      <w:r w:rsidRPr="003100A2">
        <w:t xml:space="preserve">, and FRC clients were </w:t>
      </w:r>
      <w:r>
        <w:t xml:space="preserve">conferenced </w:t>
      </w:r>
      <w:proofErr w:type="gramStart"/>
      <w:r>
        <w:t>in regard to</w:t>
      </w:r>
      <w:proofErr w:type="gramEnd"/>
      <w:r>
        <w:t xml:space="preserve"> school attendance and enrolment notices received from the </w:t>
      </w:r>
      <w:r w:rsidR="007C1E2B">
        <w:t>De</w:t>
      </w:r>
      <w:r>
        <w:t>partment</w:t>
      </w:r>
      <w:r w:rsidR="007C1E2B">
        <w:t xml:space="preserve"> of Education</w:t>
      </w:r>
      <w:r>
        <w:t>.</w:t>
      </w:r>
    </w:p>
    <w:p w14:paraId="084C2064" w14:textId="77777777" w:rsidR="00E15E0C" w:rsidRDefault="006E09FC" w:rsidP="006E09FC">
      <w:r>
        <w:t>Student attendance was also affected in Doomadgee and Hope Vale by community unrest, the annual</w:t>
      </w:r>
      <w:r w:rsidRPr="00362DC8">
        <w:t xml:space="preserve"> wet season</w:t>
      </w:r>
      <w:r>
        <w:t xml:space="preserve"> and sorry business. The deficit in school attendance requires a whole of </w:t>
      </w:r>
    </w:p>
    <w:p w14:paraId="2A8D617F" w14:textId="77777777" w:rsidR="00E15E0C" w:rsidRDefault="00E15E0C">
      <w:pPr>
        <w:spacing w:after="160" w:line="259" w:lineRule="auto"/>
      </w:pPr>
      <w:r>
        <w:br w:type="page"/>
      </w:r>
    </w:p>
    <w:p w14:paraId="2EB1DBBF" w14:textId="6B836382" w:rsidR="00D647E7" w:rsidRPr="007108C7" w:rsidRDefault="006E09FC" w:rsidP="006E09FC">
      <w:r>
        <w:lastRenderedPageBreak/>
        <w:t xml:space="preserve">community response. The value that a community places on education as an essential part of childhood development is crucial in determining the level of student attendance, and the approach to education is affected by community cultural norms. For Department of Education </w:t>
      </w:r>
      <w:r w:rsidRPr="007108C7">
        <w:t xml:space="preserve">published statistical data refer to </w:t>
      </w:r>
      <w:hyperlink r:id="rId9" w:history="1">
        <w:r w:rsidRPr="007108C7">
          <w:rPr>
            <w:rStyle w:val="Hyperlink"/>
            <w:color w:val="auto"/>
          </w:rPr>
          <w:t>https://www.data.qld.gov.au/dataset/state-school-attendance-rate</w:t>
        </w:r>
      </w:hyperlink>
      <w:r w:rsidR="00936A99" w:rsidRPr="007108C7">
        <w:rPr>
          <w:rStyle w:val="Hyperlink"/>
          <w:color w:val="auto"/>
        </w:rPr>
        <w:t>.</w:t>
      </w:r>
    </w:p>
    <w:p w14:paraId="547AC35D" w14:textId="77777777" w:rsidR="001D5AC1" w:rsidRDefault="001D5AC1" w:rsidP="00901E4A"/>
    <w:p w14:paraId="18EF8AF3" w14:textId="3F4F5C9D" w:rsidR="006E09FC" w:rsidRDefault="00EC43D6" w:rsidP="006E09FC">
      <w:pPr>
        <w:pStyle w:val="Heading3"/>
      </w:pPr>
      <w:r>
        <w:t xml:space="preserve">Additional </w:t>
      </w:r>
      <w:r w:rsidR="000857C9">
        <w:t>a</w:t>
      </w:r>
      <w:r w:rsidR="006E09FC">
        <w:t>ctivity</w:t>
      </w:r>
      <w:r>
        <w:t xml:space="preserve"> data</w:t>
      </w:r>
    </w:p>
    <w:p w14:paraId="62A0CC20" w14:textId="235B5756" w:rsidR="00EC43D6" w:rsidRPr="00EC43D6" w:rsidRDefault="004148A8" w:rsidP="00EC43D6">
      <w:r>
        <w:t>The following table provides additional activity information not mentioned previously, or without a comparison to the previous financial year.</w:t>
      </w:r>
    </w:p>
    <w:p w14:paraId="7F85952D" w14:textId="2930BD27" w:rsidR="001D4CFF" w:rsidRPr="00633474" w:rsidRDefault="009F366C" w:rsidP="004024CE">
      <w:pPr>
        <w:rPr>
          <w:rFonts w:ascii="Helvetica" w:hAnsi="Helvetica" w:cs="Helvetica"/>
          <w:b/>
          <w:bCs/>
          <w:sz w:val="17"/>
          <w:szCs w:val="17"/>
        </w:rPr>
      </w:pPr>
      <w:r w:rsidRPr="00633474">
        <w:rPr>
          <w:rFonts w:ascii="Helvetica" w:hAnsi="Helvetica" w:cs="Helvetica"/>
          <w:b/>
          <w:bCs/>
          <w:sz w:val="17"/>
          <w:szCs w:val="17"/>
        </w:rPr>
        <w:t xml:space="preserve">Table 1: </w:t>
      </w:r>
      <w:r w:rsidR="00EC43D6">
        <w:rPr>
          <w:rFonts w:ascii="Helvetica" w:hAnsi="Helvetica" w:cs="Helvetica"/>
          <w:b/>
          <w:bCs/>
          <w:sz w:val="17"/>
          <w:szCs w:val="17"/>
        </w:rPr>
        <w:t>Additional</w:t>
      </w:r>
      <w:r w:rsidRPr="00633474">
        <w:rPr>
          <w:rFonts w:ascii="Helvetica" w:hAnsi="Helvetica" w:cs="Helvetica"/>
          <w:b/>
          <w:bCs/>
          <w:sz w:val="17"/>
          <w:szCs w:val="17"/>
        </w:rPr>
        <w:t xml:space="preserve"> activity </w:t>
      </w:r>
      <w:r w:rsidR="00EC43D6">
        <w:rPr>
          <w:rFonts w:ascii="Helvetica" w:hAnsi="Helvetica" w:cs="Helvetica"/>
          <w:b/>
          <w:bCs/>
          <w:sz w:val="17"/>
          <w:szCs w:val="17"/>
        </w:rPr>
        <w:t xml:space="preserve">data </w:t>
      </w:r>
      <w:r w:rsidRPr="00633474">
        <w:rPr>
          <w:rFonts w:ascii="Helvetica" w:hAnsi="Helvetica" w:cs="Helvetica"/>
          <w:b/>
          <w:bCs/>
          <w:sz w:val="17"/>
          <w:szCs w:val="17"/>
        </w:rPr>
        <w:t>for the financial year</w:t>
      </w:r>
      <w:r w:rsidR="00C74EA9">
        <w:rPr>
          <w:rFonts w:ascii="Helvetica" w:hAnsi="Helvetica" w:cs="Helvetica"/>
          <w:b/>
          <w:bCs/>
          <w:sz w:val="17"/>
          <w:szCs w:val="17"/>
        </w:rPr>
        <w:t>.</w:t>
      </w:r>
    </w:p>
    <w:p w14:paraId="73355DF5" w14:textId="6F3BBC9C" w:rsidR="009F366C" w:rsidRDefault="009F366C" w:rsidP="004024CE"/>
    <w:tbl>
      <w:tblPr>
        <w:tblpPr w:leftFromText="180" w:rightFromText="180" w:vertAnchor="text" w:horzAnchor="margin" w:tblpY="-291"/>
        <w:tblW w:w="8500" w:type="dxa"/>
        <w:tblLook w:val="04A0" w:firstRow="1" w:lastRow="0" w:firstColumn="1" w:lastColumn="0" w:noHBand="0" w:noVBand="1"/>
      </w:tblPr>
      <w:tblGrid>
        <w:gridCol w:w="6516"/>
        <w:gridCol w:w="992"/>
        <w:gridCol w:w="992"/>
      </w:tblGrid>
      <w:tr w:rsidR="009F366C" w:rsidRPr="006D1A98" w14:paraId="7ECECD0E" w14:textId="77777777" w:rsidTr="00061BEF">
        <w:trPr>
          <w:trHeight w:val="398"/>
        </w:trPr>
        <w:tc>
          <w:tcPr>
            <w:tcW w:w="6516"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99F95E9" w14:textId="77777777" w:rsidR="009F366C" w:rsidRPr="006B1FFA" w:rsidRDefault="009F366C" w:rsidP="00BB62F2">
            <w:pPr>
              <w:rPr>
                <w:b/>
                <w:bCs/>
                <w:color w:val="FFFFFF" w:themeColor="background1"/>
              </w:rPr>
            </w:pPr>
            <w:r w:rsidRPr="006B1FFA">
              <w:rPr>
                <w:b/>
                <w:bCs/>
                <w:color w:val="FFFFFF" w:themeColor="background1"/>
              </w:rPr>
              <w:t>Activity for the financial year</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3A46E2DD" w14:textId="77777777" w:rsidR="009F366C" w:rsidRPr="006B1FFA" w:rsidRDefault="009F366C" w:rsidP="00BB62F2">
            <w:pPr>
              <w:jc w:val="right"/>
              <w:rPr>
                <w:b/>
                <w:bCs/>
                <w:color w:val="FFFFFF" w:themeColor="background1"/>
              </w:rPr>
            </w:pPr>
            <w:r w:rsidRPr="006B1FFA">
              <w:rPr>
                <w:b/>
                <w:bCs/>
                <w:color w:val="FFFFFF" w:themeColor="background1"/>
              </w:rPr>
              <w:t>2018-19</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4C79FC3F" w14:textId="77777777" w:rsidR="009F366C" w:rsidRPr="006B1FFA" w:rsidRDefault="009F366C" w:rsidP="00BB62F2">
            <w:pPr>
              <w:jc w:val="right"/>
              <w:rPr>
                <w:b/>
                <w:bCs/>
                <w:color w:val="FFFFFF" w:themeColor="background1"/>
              </w:rPr>
            </w:pPr>
            <w:r w:rsidRPr="006B1FFA">
              <w:rPr>
                <w:b/>
                <w:bCs/>
                <w:color w:val="FFFFFF" w:themeColor="background1"/>
              </w:rPr>
              <w:t>2019-20</w:t>
            </w:r>
          </w:p>
        </w:tc>
      </w:tr>
      <w:tr w:rsidR="009F366C" w:rsidRPr="006D1A98" w14:paraId="1B1055D8"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5E9D9FEC" w14:textId="1396DFE2" w:rsidR="009F366C" w:rsidRPr="006D1A98" w:rsidRDefault="009F366C" w:rsidP="00BB62F2">
            <w:r w:rsidRPr="006D1A98">
              <w:t>Total number of notices received by the Commission</w:t>
            </w:r>
            <w:r w:rsidR="00B71848">
              <w:rPr>
                <w:rStyle w:val="FootnoteReference"/>
              </w:rPr>
              <w:footnoteReference w:id="1"/>
            </w:r>
          </w:p>
        </w:tc>
        <w:tc>
          <w:tcPr>
            <w:tcW w:w="992" w:type="dxa"/>
            <w:tcBorders>
              <w:top w:val="nil"/>
              <w:left w:val="nil"/>
              <w:bottom w:val="single" w:sz="4" w:space="0" w:color="auto"/>
              <w:right w:val="single" w:sz="4" w:space="0" w:color="auto"/>
            </w:tcBorders>
            <w:shd w:val="clear" w:color="auto" w:fill="auto"/>
            <w:vAlign w:val="center"/>
          </w:tcPr>
          <w:p w14:paraId="600D1B17" w14:textId="77777777" w:rsidR="009F366C" w:rsidRPr="006D1A98" w:rsidRDefault="009F366C" w:rsidP="00BB62F2">
            <w:pPr>
              <w:jc w:val="right"/>
            </w:pPr>
            <w:r w:rsidRPr="006D1A98">
              <w:t>8,031</w:t>
            </w:r>
          </w:p>
        </w:tc>
        <w:tc>
          <w:tcPr>
            <w:tcW w:w="992" w:type="dxa"/>
            <w:tcBorders>
              <w:top w:val="nil"/>
              <w:left w:val="nil"/>
              <w:bottom w:val="single" w:sz="4" w:space="0" w:color="auto"/>
              <w:right w:val="single" w:sz="4" w:space="0" w:color="auto"/>
            </w:tcBorders>
            <w:shd w:val="clear" w:color="auto" w:fill="auto"/>
            <w:vAlign w:val="center"/>
          </w:tcPr>
          <w:p w14:paraId="71D532F2" w14:textId="77777777" w:rsidR="009F366C" w:rsidRPr="009746DA" w:rsidRDefault="009F366C" w:rsidP="00BB62F2">
            <w:pPr>
              <w:jc w:val="right"/>
            </w:pPr>
            <w:r w:rsidRPr="009746DA">
              <w:t>7,348</w:t>
            </w:r>
          </w:p>
        </w:tc>
      </w:tr>
      <w:tr w:rsidR="009F366C" w:rsidRPr="006D1A98" w14:paraId="178803D7"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5CB9F08C" w14:textId="60DAB0E0" w:rsidR="009F366C" w:rsidRPr="006D1A98" w:rsidRDefault="009F366C" w:rsidP="00BB62F2">
            <w:r w:rsidRPr="006D1A98">
              <w:tab/>
              <w:t>Number of within jurisdiction notices received</w:t>
            </w:r>
          </w:p>
        </w:tc>
        <w:tc>
          <w:tcPr>
            <w:tcW w:w="992" w:type="dxa"/>
            <w:tcBorders>
              <w:top w:val="nil"/>
              <w:left w:val="nil"/>
              <w:bottom w:val="single" w:sz="4" w:space="0" w:color="auto"/>
              <w:right w:val="single" w:sz="4" w:space="0" w:color="auto"/>
            </w:tcBorders>
            <w:shd w:val="clear" w:color="auto" w:fill="auto"/>
            <w:vAlign w:val="center"/>
          </w:tcPr>
          <w:p w14:paraId="644E03B9" w14:textId="77777777" w:rsidR="009F366C" w:rsidRPr="006D1A98" w:rsidRDefault="009F366C" w:rsidP="00BB62F2">
            <w:pPr>
              <w:jc w:val="right"/>
            </w:pPr>
            <w:r w:rsidRPr="006D1A98">
              <w:t>5,670</w:t>
            </w:r>
          </w:p>
        </w:tc>
        <w:tc>
          <w:tcPr>
            <w:tcW w:w="992" w:type="dxa"/>
            <w:tcBorders>
              <w:top w:val="nil"/>
              <w:left w:val="nil"/>
              <w:bottom w:val="single" w:sz="4" w:space="0" w:color="auto"/>
              <w:right w:val="single" w:sz="4" w:space="0" w:color="auto"/>
            </w:tcBorders>
            <w:shd w:val="clear" w:color="auto" w:fill="auto"/>
            <w:vAlign w:val="center"/>
          </w:tcPr>
          <w:p w14:paraId="1FF1BA62" w14:textId="77777777" w:rsidR="009F366C" w:rsidRPr="009746DA" w:rsidRDefault="009F366C" w:rsidP="00BB62F2">
            <w:pPr>
              <w:jc w:val="right"/>
            </w:pPr>
            <w:r w:rsidRPr="009746DA">
              <w:t>4,941</w:t>
            </w:r>
          </w:p>
        </w:tc>
      </w:tr>
      <w:tr w:rsidR="009F366C" w:rsidRPr="006D1A98" w14:paraId="30342BB8"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58081876" w14:textId="77777777" w:rsidR="009F366C" w:rsidRPr="006D1A98" w:rsidRDefault="009F366C" w:rsidP="00BB62F2">
            <w:r w:rsidRPr="006D1A98">
              <w:tab/>
              <w:t>Number of not within jurisdiction notices received</w:t>
            </w:r>
          </w:p>
        </w:tc>
        <w:tc>
          <w:tcPr>
            <w:tcW w:w="992" w:type="dxa"/>
            <w:tcBorders>
              <w:top w:val="nil"/>
              <w:left w:val="nil"/>
              <w:bottom w:val="single" w:sz="4" w:space="0" w:color="auto"/>
              <w:right w:val="single" w:sz="4" w:space="0" w:color="auto"/>
            </w:tcBorders>
            <w:shd w:val="clear" w:color="auto" w:fill="auto"/>
            <w:vAlign w:val="center"/>
          </w:tcPr>
          <w:p w14:paraId="499F3A0A" w14:textId="77777777" w:rsidR="009F366C" w:rsidRPr="006D1A98" w:rsidRDefault="009F366C" w:rsidP="00BB62F2">
            <w:pPr>
              <w:jc w:val="right"/>
            </w:pPr>
            <w:r w:rsidRPr="006D1A98">
              <w:t>2,361</w:t>
            </w:r>
          </w:p>
        </w:tc>
        <w:tc>
          <w:tcPr>
            <w:tcW w:w="992" w:type="dxa"/>
            <w:tcBorders>
              <w:top w:val="nil"/>
              <w:left w:val="nil"/>
              <w:bottom w:val="single" w:sz="4" w:space="0" w:color="auto"/>
              <w:right w:val="single" w:sz="4" w:space="0" w:color="auto"/>
            </w:tcBorders>
            <w:shd w:val="clear" w:color="auto" w:fill="auto"/>
            <w:vAlign w:val="center"/>
          </w:tcPr>
          <w:p w14:paraId="7C825CEF" w14:textId="77777777" w:rsidR="009F366C" w:rsidRPr="009746DA" w:rsidRDefault="009F366C" w:rsidP="00BB62F2">
            <w:pPr>
              <w:jc w:val="right"/>
            </w:pPr>
            <w:r w:rsidRPr="009746DA">
              <w:t>2,407</w:t>
            </w:r>
          </w:p>
        </w:tc>
      </w:tr>
      <w:tr w:rsidR="009F366C" w:rsidRPr="006D1A98" w14:paraId="50C59C2D"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5C7E0516" w14:textId="77777777" w:rsidR="009F366C" w:rsidRPr="006D1A98" w:rsidRDefault="009F366C" w:rsidP="00BB62F2">
            <w:r w:rsidRPr="006D1A98">
              <w:t>Number of clients notified to the Commission from within jurisdiction notices</w:t>
            </w:r>
          </w:p>
        </w:tc>
        <w:tc>
          <w:tcPr>
            <w:tcW w:w="992" w:type="dxa"/>
            <w:tcBorders>
              <w:top w:val="nil"/>
              <w:left w:val="nil"/>
              <w:bottom w:val="single" w:sz="4" w:space="0" w:color="auto"/>
              <w:right w:val="single" w:sz="4" w:space="0" w:color="auto"/>
            </w:tcBorders>
            <w:shd w:val="clear" w:color="auto" w:fill="auto"/>
            <w:vAlign w:val="center"/>
          </w:tcPr>
          <w:p w14:paraId="699615A0" w14:textId="77777777" w:rsidR="009F366C" w:rsidRPr="006D1A98" w:rsidRDefault="009F366C" w:rsidP="00BB62F2">
            <w:pPr>
              <w:jc w:val="right"/>
            </w:pPr>
            <w:r w:rsidRPr="006D1A98">
              <w:t>1,300</w:t>
            </w:r>
          </w:p>
        </w:tc>
        <w:tc>
          <w:tcPr>
            <w:tcW w:w="992" w:type="dxa"/>
            <w:tcBorders>
              <w:top w:val="nil"/>
              <w:left w:val="nil"/>
              <w:bottom w:val="single" w:sz="4" w:space="0" w:color="auto"/>
              <w:right w:val="single" w:sz="4" w:space="0" w:color="auto"/>
            </w:tcBorders>
            <w:shd w:val="clear" w:color="auto" w:fill="auto"/>
            <w:vAlign w:val="center"/>
          </w:tcPr>
          <w:p w14:paraId="3DC885E6" w14:textId="77777777" w:rsidR="009F366C" w:rsidRPr="009746DA" w:rsidRDefault="009F366C" w:rsidP="00BB62F2">
            <w:pPr>
              <w:jc w:val="right"/>
            </w:pPr>
            <w:r w:rsidRPr="009746DA">
              <w:t>1,217</w:t>
            </w:r>
          </w:p>
        </w:tc>
      </w:tr>
      <w:tr w:rsidR="009F366C" w:rsidRPr="006D1A98" w14:paraId="66FEB287" w14:textId="77777777" w:rsidTr="00BB62F2">
        <w:trPr>
          <w:trHeight w:val="147"/>
        </w:trPr>
        <w:tc>
          <w:tcPr>
            <w:tcW w:w="6516" w:type="dxa"/>
            <w:tcBorders>
              <w:top w:val="nil"/>
              <w:left w:val="single" w:sz="4" w:space="0" w:color="auto"/>
              <w:bottom w:val="single" w:sz="4" w:space="0" w:color="auto"/>
              <w:right w:val="single" w:sz="4" w:space="0" w:color="auto"/>
            </w:tcBorders>
            <w:shd w:val="clear" w:color="auto" w:fill="auto"/>
            <w:vAlign w:val="center"/>
          </w:tcPr>
          <w:p w14:paraId="48053919" w14:textId="77777777" w:rsidR="009F366C" w:rsidRPr="006D1A98" w:rsidRDefault="009F366C" w:rsidP="00BB62F2"/>
        </w:tc>
        <w:tc>
          <w:tcPr>
            <w:tcW w:w="992" w:type="dxa"/>
            <w:tcBorders>
              <w:top w:val="nil"/>
              <w:left w:val="nil"/>
              <w:bottom w:val="single" w:sz="4" w:space="0" w:color="auto"/>
              <w:right w:val="single" w:sz="4" w:space="0" w:color="auto"/>
            </w:tcBorders>
            <w:shd w:val="clear" w:color="auto" w:fill="auto"/>
            <w:vAlign w:val="center"/>
          </w:tcPr>
          <w:p w14:paraId="0B6C4A41" w14:textId="77777777" w:rsidR="009F366C" w:rsidRPr="006D1A98" w:rsidRDefault="009F366C" w:rsidP="00BB62F2">
            <w:pPr>
              <w:jc w:val="right"/>
            </w:pPr>
          </w:p>
        </w:tc>
        <w:tc>
          <w:tcPr>
            <w:tcW w:w="992" w:type="dxa"/>
            <w:tcBorders>
              <w:top w:val="nil"/>
              <w:left w:val="nil"/>
              <w:bottom w:val="single" w:sz="4" w:space="0" w:color="auto"/>
              <w:right w:val="single" w:sz="4" w:space="0" w:color="auto"/>
            </w:tcBorders>
            <w:shd w:val="clear" w:color="auto" w:fill="auto"/>
            <w:vAlign w:val="center"/>
          </w:tcPr>
          <w:p w14:paraId="54694EBE" w14:textId="77777777" w:rsidR="009F366C" w:rsidRPr="009746DA" w:rsidRDefault="009F366C" w:rsidP="00BB62F2">
            <w:pPr>
              <w:jc w:val="right"/>
            </w:pPr>
          </w:p>
        </w:tc>
      </w:tr>
      <w:tr w:rsidR="009F366C" w:rsidRPr="006D1A98" w14:paraId="45599CB9"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5413C746" w14:textId="21D3C8DE" w:rsidR="009F366C" w:rsidRPr="006D1A98" w:rsidRDefault="009F366C" w:rsidP="00BB62F2">
            <w:r w:rsidRPr="006D1A98">
              <w:t xml:space="preserve">Number of clients </w:t>
            </w:r>
            <w:r w:rsidR="00B0193D">
              <w:t>served</w:t>
            </w:r>
            <w:r w:rsidR="00B0193D" w:rsidRPr="006D1A98">
              <w:t xml:space="preserve"> </w:t>
            </w:r>
            <w:r w:rsidRPr="006D1A98">
              <w:t>to attend conference</w:t>
            </w:r>
          </w:p>
        </w:tc>
        <w:tc>
          <w:tcPr>
            <w:tcW w:w="992" w:type="dxa"/>
            <w:tcBorders>
              <w:top w:val="nil"/>
              <w:left w:val="nil"/>
              <w:bottom w:val="single" w:sz="4" w:space="0" w:color="auto"/>
              <w:right w:val="single" w:sz="4" w:space="0" w:color="auto"/>
            </w:tcBorders>
            <w:shd w:val="clear" w:color="auto" w:fill="auto"/>
            <w:vAlign w:val="center"/>
          </w:tcPr>
          <w:p w14:paraId="15D0A74B" w14:textId="77777777" w:rsidR="009F366C" w:rsidRPr="006D1A98" w:rsidRDefault="009F366C" w:rsidP="00BB62F2">
            <w:pPr>
              <w:jc w:val="right"/>
            </w:pPr>
            <w:r w:rsidRPr="006D1A98">
              <w:t>914</w:t>
            </w:r>
          </w:p>
        </w:tc>
        <w:tc>
          <w:tcPr>
            <w:tcW w:w="992" w:type="dxa"/>
            <w:tcBorders>
              <w:top w:val="nil"/>
              <w:left w:val="nil"/>
              <w:bottom w:val="single" w:sz="4" w:space="0" w:color="auto"/>
              <w:right w:val="single" w:sz="4" w:space="0" w:color="auto"/>
            </w:tcBorders>
            <w:shd w:val="clear" w:color="auto" w:fill="auto"/>
            <w:vAlign w:val="center"/>
          </w:tcPr>
          <w:p w14:paraId="00AE9A14" w14:textId="77777777" w:rsidR="009F366C" w:rsidRPr="009746DA" w:rsidRDefault="009F366C" w:rsidP="00BB62F2">
            <w:pPr>
              <w:jc w:val="right"/>
            </w:pPr>
            <w:r w:rsidRPr="009746DA">
              <w:t>811</w:t>
            </w:r>
          </w:p>
        </w:tc>
      </w:tr>
      <w:tr w:rsidR="009F366C" w:rsidRPr="006D1A98" w14:paraId="3967849B"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19DE4C89" w14:textId="77777777" w:rsidR="009F366C" w:rsidRPr="006D1A98" w:rsidRDefault="009F366C" w:rsidP="00BB62F2">
            <w:r w:rsidRPr="006D1A98">
              <w:t>Conferences conducted</w:t>
            </w:r>
          </w:p>
        </w:tc>
        <w:tc>
          <w:tcPr>
            <w:tcW w:w="992" w:type="dxa"/>
            <w:tcBorders>
              <w:top w:val="nil"/>
              <w:left w:val="nil"/>
              <w:bottom w:val="single" w:sz="4" w:space="0" w:color="auto"/>
              <w:right w:val="single" w:sz="4" w:space="0" w:color="auto"/>
            </w:tcBorders>
            <w:shd w:val="clear" w:color="auto" w:fill="auto"/>
            <w:vAlign w:val="center"/>
          </w:tcPr>
          <w:p w14:paraId="002AF539" w14:textId="77777777" w:rsidR="009F366C" w:rsidRPr="006D1A98" w:rsidRDefault="009F366C" w:rsidP="00BB62F2">
            <w:pPr>
              <w:jc w:val="right"/>
            </w:pPr>
            <w:r w:rsidRPr="006D1A98">
              <w:t>2,682</w:t>
            </w:r>
          </w:p>
        </w:tc>
        <w:tc>
          <w:tcPr>
            <w:tcW w:w="992" w:type="dxa"/>
            <w:tcBorders>
              <w:top w:val="nil"/>
              <w:left w:val="nil"/>
              <w:bottom w:val="single" w:sz="4" w:space="0" w:color="auto"/>
              <w:right w:val="single" w:sz="4" w:space="0" w:color="auto"/>
            </w:tcBorders>
            <w:shd w:val="clear" w:color="auto" w:fill="auto"/>
            <w:vAlign w:val="center"/>
          </w:tcPr>
          <w:p w14:paraId="0B0E29D5" w14:textId="77777777" w:rsidR="009F366C" w:rsidRPr="009746DA" w:rsidRDefault="009F366C" w:rsidP="00BB62F2">
            <w:pPr>
              <w:jc w:val="right"/>
            </w:pPr>
            <w:r w:rsidRPr="009746DA">
              <w:t>2,228</w:t>
            </w:r>
          </w:p>
        </w:tc>
      </w:tr>
      <w:tr w:rsidR="009F366C" w:rsidRPr="006D1A98" w14:paraId="5684B060"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53570750" w14:textId="77777777" w:rsidR="009F366C" w:rsidRPr="006D1A98" w:rsidRDefault="009F366C" w:rsidP="00BB62F2">
            <w:r w:rsidRPr="006D1A98">
              <w:t>Conference attendance percentage</w:t>
            </w:r>
          </w:p>
        </w:tc>
        <w:tc>
          <w:tcPr>
            <w:tcW w:w="992" w:type="dxa"/>
            <w:tcBorders>
              <w:top w:val="nil"/>
              <w:left w:val="nil"/>
              <w:bottom w:val="single" w:sz="4" w:space="0" w:color="auto"/>
              <w:right w:val="single" w:sz="4" w:space="0" w:color="auto"/>
            </w:tcBorders>
            <w:shd w:val="clear" w:color="auto" w:fill="auto"/>
            <w:vAlign w:val="center"/>
          </w:tcPr>
          <w:p w14:paraId="4CC070E3" w14:textId="77777777" w:rsidR="009F366C" w:rsidRPr="006D1A98" w:rsidRDefault="009F366C" w:rsidP="00BB62F2">
            <w:pPr>
              <w:jc w:val="right"/>
            </w:pPr>
            <w:r w:rsidRPr="006D1A98">
              <w:t>60.6%</w:t>
            </w:r>
          </w:p>
        </w:tc>
        <w:tc>
          <w:tcPr>
            <w:tcW w:w="992" w:type="dxa"/>
            <w:tcBorders>
              <w:top w:val="nil"/>
              <w:left w:val="nil"/>
              <w:bottom w:val="single" w:sz="4" w:space="0" w:color="auto"/>
              <w:right w:val="single" w:sz="4" w:space="0" w:color="auto"/>
            </w:tcBorders>
            <w:shd w:val="clear" w:color="auto" w:fill="auto"/>
            <w:vAlign w:val="center"/>
          </w:tcPr>
          <w:p w14:paraId="0DB792BA" w14:textId="77777777" w:rsidR="009F366C" w:rsidRPr="006D1A98" w:rsidRDefault="009F366C" w:rsidP="00BB62F2">
            <w:pPr>
              <w:jc w:val="right"/>
            </w:pPr>
            <w:r w:rsidRPr="006D1A98">
              <w:t>59.2%</w:t>
            </w:r>
          </w:p>
        </w:tc>
      </w:tr>
      <w:tr w:rsidR="009F366C" w:rsidRPr="006D1A98" w14:paraId="136166B3"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3B6F45AA" w14:textId="47B62CE8" w:rsidR="009F366C" w:rsidRPr="006D1A98" w:rsidRDefault="009F366C" w:rsidP="00BB62F2">
            <w:r w:rsidRPr="006D1A98">
              <w:t>Conference non-attendance percentage with acceptable (reasonable) excuse</w:t>
            </w:r>
            <w:r w:rsidR="00A66054">
              <w:rPr>
                <w:rStyle w:val="FootnoteReference"/>
              </w:rPr>
              <w:footnoteReference w:id="2"/>
            </w:r>
          </w:p>
        </w:tc>
        <w:tc>
          <w:tcPr>
            <w:tcW w:w="992" w:type="dxa"/>
            <w:tcBorders>
              <w:top w:val="nil"/>
              <w:left w:val="nil"/>
              <w:bottom w:val="single" w:sz="4" w:space="0" w:color="auto"/>
              <w:right w:val="single" w:sz="4" w:space="0" w:color="auto"/>
            </w:tcBorders>
            <w:shd w:val="clear" w:color="auto" w:fill="auto"/>
            <w:vAlign w:val="center"/>
          </w:tcPr>
          <w:p w14:paraId="36D06F16" w14:textId="77777777" w:rsidR="009F366C" w:rsidRPr="006D1A98" w:rsidRDefault="009F366C" w:rsidP="00BB62F2">
            <w:pPr>
              <w:jc w:val="right"/>
            </w:pPr>
            <w:r w:rsidRPr="006D1A98">
              <w:t>27.6%</w:t>
            </w:r>
          </w:p>
        </w:tc>
        <w:tc>
          <w:tcPr>
            <w:tcW w:w="992" w:type="dxa"/>
            <w:tcBorders>
              <w:top w:val="nil"/>
              <w:left w:val="nil"/>
              <w:bottom w:val="single" w:sz="4" w:space="0" w:color="auto"/>
              <w:right w:val="single" w:sz="4" w:space="0" w:color="auto"/>
            </w:tcBorders>
            <w:shd w:val="clear" w:color="auto" w:fill="auto"/>
            <w:vAlign w:val="center"/>
          </w:tcPr>
          <w:p w14:paraId="75428125" w14:textId="77777777" w:rsidR="009F366C" w:rsidRPr="006D1A98" w:rsidRDefault="009F366C" w:rsidP="00BB62F2">
            <w:pPr>
              <w:jc w:val="right"/>
            </w:pPr>
            <w:r w:rsidRPr="006D1A98">
              <w:t>21.7%</w:t>
            </w:r>
          </w:p>
        </w:tc>
      </w:tr>
      <w:tr w:rsidR="009F366C" w:rsidRPr="006D1A98" w14:paraId="5A0B9103"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1AAD970E" w14:textId="77777777" w:rsidR="009F366C" w:rsidRPr="006D1A98" w:rsidRDefault="009F366C" w:rsidP="00BB62F2"/>
        </w:tc>
        <w:tc>
          <w:tcPr>
            <w:tcW w:w="992" w:type="dxa"/>
            <w:tcBorders>
              <w:top w:val="nil"/>
              <w:left w:val="nil"/>
              <w:bottom w:val="single" w:sz="4" w:space="0" w:color="auto"/>
              <w:right w:val="single" w:sz="4" w:space="0" w:color="auto"/>
            </w:tcBorders>
            <w:shd w:val="clear" w:color="auto" w:fill="auto"/>
            <w:vAlign w:val="center"/>
          </w:tcPr>
          <w:p w14:paraId="1088A624" w14:textId="77777777" w:rsidR="009F366C" w:rsidRPr="006D1A98" w:rsidRDefault="009F366C" w:rsidP="00BB62F2">
            <w:pPr>
              <w:jc w:val="right"/>
            </w:pPr>
          </w:p>
        </w:tc>
        <w:tc>
          <w:tcPr>
            <w:tcW w:w="992" w:type="dxa"/>
            <w:tcBorders>
              <w:top w:val="nil"/>
              <w:left w:val="nil"/>
              <w:bottom w:val="single" w:sz="4" w:space="0" w:color="auto"/>
              <w:right w:val="single" w:sz="4" w:space="0" w:color="auto"/>
            </w:tcBorders>
            <w:shd w:val="clear" w:color="auto" w:fill="auto"/>
            <w:vAlign w:val="center"/>
          </w:tcPr>
          <w:p w14:paraId="655A7371" w14:textId="77777777" w:rsidR="009F366C" w:rsidRPr="006D1A98" w:rsidRDefault="009F366C" w:rsidP="00BB62F2">
            <w:pPr>
              <w:jc w:val="right"/>
            </w:pPr>
          </w:p>
        </w:tc>
      </w:tr>
      <w:tr w:rsidR="00D277EA" w:rsidRPr="006D1A98" w14:paraId="074AE5FA"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1FF01A3B" w14:textId="52386D42" w:rsidR="00D277EA" w:rsidRPr="006D1A98" w:rsidRDefault="00D277EA" w:rsidP="00BB62F2">
            <w:r>
              <w:t>Conditional Income Management (CIM) orders</w:t>
            </w:r>
          </w:p>
        </w:tc>
        <w:tc>
          <w:tcPr>
            <w:tcW w:w="992" w:type="dxa"/>
            <w:tcBorders>
              <w:top w:val="nil"/>
              <w:left w:val="nil"/>
              <w:bottom w:val="single" w:sz="4" w:space="0" w:color="auto"/>
              <w:right w:val="single" w:sz="4" w:space="0" w:color="auto"/>
            </w:tcBorders>
            <w:shd w:val="clear" w:color="auto" w:fill="auto"/>
            <w:vAlign w:val="center"/>
          </w:tcPr>
          <w:p w14:paraId="592AFEDB" w14:textId="7203F54F" w:rsidR="00D277EA" w:rsidRPr="006D1A98" w:rsidRDefault="00D277EA" w:rsidP="00BB62F2">
            <w:pPr>
              <w:jc w:val="right"/>
            </w:pPr>
            <w:r>
              <w:t>233</w:t>
            </w:r>
          </w:p>
        </w:tc>
        <w:tc>
          <w:tcPr>
            <w:tcW w:w="992" w:type="dxa"/>
            <w:tcBorders>
              <w:top w:val="nil"/>
              <w:left w:val="nil"/>
              <w:bottom w:val="single" w:sz="4" w:space="0" w:color="auto"/>
              <w:right w:val="single" w:sz="4" w:space="0" w:color="auto"/>
            </w:tcBorders>
            <w:shd w:val="clear" w:color="auto" w:fill="auto"/>
            <w:vAlign w:val="center"/>
          </w:tcPr>
          <w:p w14:paraId="618004F4" w14:textId="3E53936C" w:rsidR="00D277EA" w:rsidRPr="006D1A98" w:rsidRDefault="00D277EA" w:rsidP="00BB62F2">
            <w:pPr>
              <w:jc w:val="right"/>
            </w:pPr>
            <w:r>
              <w:t>219</w:t>
            </w:r>
          </w:p>
        </w:tc>
      </w:tr>
      <w:tr w:rsidR="009F366C" w:rsidRPr="006D1A98" w14:paraId="4EB483AC"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26B186AE" w14:textId="4B0D947A" w:rsidR="009F366C" w:rsidRPr="006D1A98" w:rsidRDefault="009F366C" w:rsidP="00BB62F2">
            <w:r w:rsidRPr="006D1A98">
              <w:t xml:space="preserve">Voluntary Income Management (VIM) </w:t>
            </w:r>
            <w:r w:rsidR="00D277EA">
              <w:t>a</w:t>
            </w:r>
            <w:r w:rsidRPr="006D1A98">
              <w:t>greements</w:t>
            </w:r>
          </w:p>
        </w:tc>
        <w:tc>
          <w:tcPr>
            <w:tcW w:w="992" w:type="dxa"/>
            <w:tcBorders>
              <w:top w:val="nil"/>
              <w:left w:val="nil"/>
              <w:bottom w:val="single" w:sz="4" w:space="0" w:color="auto"/>
              <w:right w:val="single" w:sz="4" w:space="0" w:color="auto"/>
            </w:tcBorders>
            <w:shd w:val="clear" w:color="auto" w:fill="auto"/>
            <w:vAlign w:val="center"/>
          </w:tcPr>
          <w:p w14:paraId="038897E8" w14:textId="77777777" w:rsidR="009F366C" w:rsidRPr="006D1A98" w:rsidRDefault="009F366C" w:rsidP="00BB62F2">
            <w:pPr>
              <w:jc w:val="right"/>
            </w:pPr>
            <w:r w:rsidRPr="006D1A98">
              <w:t>20</w:t>
            </w:r>
          </w:p>
        </w:tc>
        <w:tc>
          <w:tcPr>
            <w:tcW w:w="992" w:type="dxa"/>
            <w:tcBorders>
              <w:top w:val="nil"/>
              <w:left w:val="nil"/>
              <w:bottom w:val="single" w:sz="4" w:space="0" w:color="auto"/>
              <w:right w:val="single" w:sz="4" w:space="0" w:color="auto"/>
            </w:tcBorders>
            <w:shd w:val="clear" w:color="auto" w:fill="auto"/>
            <w:vAlign w:val="center"/>
          </w:tcPr>
          <w:p w14:paraId="2A3858D4" w14:textId="78E11B55" w:rsidR="009F366C" w:rsidRPr="006D1A98" w:rsidRDefault="009F366C" w:rsidP="00BB62F2">
            <w:pPr>
              <w:jc w:val="right"/>
            </w:pPr>
            <w:r w:rsidRPr="006D1A98">
              <w:t>2</w:t>
            </w:r>
            <w:r w:rsidR="00F313ED">
              <w:t>0</w:t>
            </w:r>
          </w:p>
        </w:tc>
      </w:tr>
      <w:tr w:rsidR="009F366C" w:rsidRPr="006D1A98" w14:paraId="3A8115E7"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7E2C4256" w14:textId="77777777" w:rsidR="009F366C" w:rsidRPr="006D1A98" w:rsidRDefault="009F366C" w:rsidP="00BB62F2"/>
        </w:tc>
        <w:tc>
          <w:tcPr>
            <w:tcW w:w="992" w:type="dxa"/>
            <w:tcBorders>
              <w:top w:val="nil"/>
              <w:left w:val="nil"/>
              <w:bottom w:val="single" w:sz="4" w:space="0" w:color="auto"/>
              <w:right w:val="single" w:sz="4" w:space="0" w:color="auto"/>
            </w:tcBorders>
            <w:shd w:val="clear" w:color="auto" w:fill="auto"/>
            <w:vAlign w:val="center"/>
          </w:tcPr>
          <w:p w14:paraId="02F9C9D1" w14:textId="77777777" w:rsidR="009F366C" w:rsidRPr="006D1A98" w:rsidRDefault="009F366C" w:rsidP="00BB62F2">
            <w:pPr>
              <w:jc w:val="right"/>
            </w:pPr>
          </w:p>
        </w:tc>
        <w:tc>
          <w:tcPr>
            <w:tcW w:w="992" w:type="dxa"/>
            <w:tcBorders>
              <w:top w:val="nil"/>
              <w:left w:val="nil"/>
              <w:bottom w:val="single" w:sz="4" w:space="0" w:color="auto"/>
              <w:right w:val="single" w:sz="4" w:space="0" w:color="auto"/>
            </w:tcBorders>
            <w:shd w:val="clear" w:color="auto" w:fill="auto"/>
            <w:vAlign w:val="center"/>
          </w:tcPr>
          <w:p w14:paraId="43C0120B" w14:textId="77777777" w:rsidR="009F366C" w:rsidRPr="006D1A98" w:rsidRDefault="009F366C" w:rsidP="00BB62F2">
            <w:pPr>
              <w:jc w:val="right"/>
            </w:pPr>
          </w:p>
        </w:tc>
      </w:tr>
      <w:tr w:rsidR="009F366C" w:rsidRPr="006D1A98" w14:paraId="240E1112"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05320A99" w14:textId="77777777" w:rsidR="009F366C" w:rsidRPr="009F366C" w:rsidRDefault="009F366C" w:rsidP="00BB62F2">
            <w:pPr>
              <w:rPr>
                <w:b/>
                <w:bCs/>
              </w:rPr>
            </w:pPr>
            <w:r w:rsidRPr="009F366C">
              <w:rPr>
                <w:b/>
                <w:bCs/>
              </w:rPr>
              <w:t>Information as at the last day of the financial year</w:t>
            </w:r>
          </w:p>
        </w:tc>
        <w:tc>
          <w:tcPr>
            <w:tcW w:w="992" w:type="dxa"/>
            <w:tcBorders>
              <w:top w:val="nil"/>
              <w:left w:val="nil"/>
              <w:bottom w:val="single" w:sz="4" w:space="0" w:color="auto"/>
              <w:right w:val="single" w:sz="4" w:space="0" w:color="auto"/>
            </w:tcBorders>
            <w:shd w:val="clear" w:color="auto" w:fill="auto"/>
            <w:vAlign w:val="center"/>
          </w:tcPr>
          <w:p w14:paraId="6BCD5497" w14:textId="77777777" w:rsidR="009F366C" w:rsidRPr="006D1A98" w:rsidRDefault="009F366C" w:rsidP="00BB62F2">
            <w:pPr>
              <w:jc w:val="right"/>
            </w:pPr>
          </w:p>
        </w:tc>
        <w:tc>
          <w:tcPr>
            <w:tcW w:w="992" w:type="dxa"/>
            <w:tcBorders>
              <w:top w:val="nil"/>
              <w:left w:val="nil"/>
              <w:bottom w:val="single" w:sz="4" w:space="0" w:color="auto"/>
              <w:right w:val="single" w:sz="4" w:space="0" w:color="auto"/>
            </w:tcBorders>
            <w:shd w:val="clear" w:color="auto" w:fill="auto"/>
            <w:vAlign w:val="center"/>
          </w:tcPr>
          <w:p w14:paraId="3F3309DC" w14:textId="77777777" w:rsidR="009F366C" w:rsidRPr="006D1A98" w:rsidRDefault="009F366C" w:rsidP="00BB62F2">
            <w:pPr>
              <w:jc w:val="right"/>
            </w:pPr>
          </w:p>
        </w:tc>
      </w:tr>
      <w:tr w:rsidR="009F366C" w:rsidRPr="006D1A98" w14:paraId="4C9EB4A1"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tcPr>
          <w:p w14:paraId="144C5EB8" w14:textId="2CA880D9" w:rsidR="009F366C" w:rsidRPr="006D1A98" w:rsidRDefault="009F366C" w:rsidP="00BB62F2">
            <w:r w:rsidRPr="006D1A98">
              <w:t>Number of clients subject to a current CIM</w:t>
            </w:r>
          </w:p>
        </w:tc>
        <w:tc>
          <w:tcPr>
            <w:tcW w:w="992" w:type="dxa"/>
            <w:tcBorders>
              <w:top w:val="nil"/>
              <w:left w:val="nil"/>
              <w:bottom w:val="single" w:sz="4" w:space="0" w:color="auto"/>
              <w:right w:val="single" w:sz="4" w:space="0" w:color="auto"/>
            </w:tcBorders>
            <w:shd w:val="clear" w:color="auto" w:fill="auto"/>
            <w:vAlign w:val="center"/>
          </w:tcPr>
          <w:p w14:paraId="50DA856B" w14:textId="77777777" w:rsidR="009F366C" w:rsidRPr="006D1A98" w:rsidRDefault="009F366C" w:rsidP="00BB62F2">
            <w:pPr>
              <w:jc w:val="right"/>
            </w:pPr>
            <w:r w:rsidRPr="006D1A98">
              <w:t>140</w:t>
            </w:r>
          </w:p>
        </w:tc>
        <w:tc>
          <w:tcPr>
            <w:tcW w:w="992" w:type="dxa"/>
            <w:tcBorders>
              <w:top w:val="nil"/>
              <w:left w:val="nil"/>
              <w:bottom w:val="single" w:sz="4" w:space="0" w:color="auto"/>
              <w:right w:val="single" w:sz="4" w:space="0" w:color="auto"/>
            </w:tcBorders>
            <w:shd w:val="clear" w:color="auto" w:fill="auto"/>
            <w:vAlign w:val="center"/>
          </w:tcPr>
          <w:p w14:paraId="6A3D4C22" w14:textId="77777777" w:rsidR="009F366C" w:rsidRPr="006D1A98" w:rsidRDefault="009F366C" w:rsidP="00BB62F2">
            <w:pPr>
              <w:jc w:val="right"/>
            </w:pPr>
            <w:r w:rsidRPr="006D1A98">
              <w:t>134</w:t>
            </w:r>
          </w:p>
        </w:tc>
      </w:tr>
      <w:tr w:rsidR="009F366C" w:rsidRPr="006D1A98" w14:paraId="37F16FBD" w14:textId="77777777" w:rsidTr="00BB62F2">
        <w:trPr>
          <w:trHeight w:val="300"/>
        </w:trPr>
        <w:tc>
          <w:tcPr>
            <w:tcW w:w="6516" w:type="dxa"/>
            <w:tcBorders>
              <w:top w:val="nil"/>
              <w:left w:val="single" w:sz="4" w:space="0" w:color="auto"/>
              <w:bottom w:val="single" w:sz="4" w:space="0" w:color="auto"/>
              <w:right w:val="single" w:sz="4" w:space="0" w:color="auto"/>
            </w:tcBorders>
            <w:shd w:val="clear" w:color="auto" w:fill="auto"/>
            <w:vAlign w:val="center"/>
            <w:hideMark/>
          </w:tcPr>
          <w:p w14:paraId="7F845D20" w14:textId="4EB56094" w:rsidR="009F366C" w:rsidRPr="006D1A98" w:rsidRDefault="009F366C" w:rsidP="00BB62F2">
            <w:r w:rsidRPr="006D1A98">
              <w:t>Number of clients currently on a VIM</w:t>
            </w:r>
          </w:p>
        </w:tc>
        <w:tc>
          <w:tcPr>
            <w:tcW w:w="992" w:type="dxa"/>
            <w:tcBorders>
              <w:top w:val="nil"/>
              <w:left w:val="nil"/>
              <w:bottom w:val="single" w:sz="4" w:space="0" w:color="auto"/>
              <w:right w:val="single" w:sz="4" w:space="0" w:color="auto"/>
            </w:tcBorders>
            <w:shd w:val="clear" w:color="auto" w:fill="auto"/>
            <w:vAlign w:val="center"/>
          </w:tcPr>
          <w:p w14:paraId="13F59042" w14:textId="77777777" w:rsidR="009F366C" w:rsidRPr="006D1A98" w:rsidRDefault="009F366C" w:rsidP="00BB62F2">
            <w:pPr>
              <w:jc w:val="right"/>
            </w:pPr>
            <w:r w:rsidRPr="006D1A98">
              <w:t>14</w:t>
            </w:r>
          </w:p>
        </w:tc>
        <w:tc>
          <w:tcPr>
            <w:tcW w:w="992" w:type="dxa"/>
            <w:tcBorders>
              <w:top w:val="nil"/>
              <w:left w:val="nil"/>
              <w:bottom w:val="single" w:sz="4" w:space="0" w:color="auto"/>
              <w:right w:val="single" w:sz="4" w:space="0" w:color="auto"/>
            </w:tcBorders>
            <w:shd w:val="clear" w:color="auto" w:fill="auto"/>
            <w:vAlign w:val="center"/>
          </w:tcPr>
          <w:p w14:paraId="4EAC02BA" w14:textId="77777777" w:rsidR="009F366C" w:rsidRPr="006D1A98" w:rsidRDefault="009F366C" w:rsidP="00BB62F2">
            <w:pPr>
              <w:jc w:val="right"/>
            </w:pPr>
            <w:r w:rsidRPr="006D1A98">
              <w:t>17</w:t>
            </w:r>
          </w:p>
        </w:tc>
      </w:tr>
    </w:tbl>
    <w:p w14:paraId="5849FFD2" w14:textId="77777777" w:rsidR="00E15E0C" w:rsidRDefault="00E15E0C" w:rsidP="004024CE">
      <w:pPr>
        <w:rPr>
          <w:rFonts w:ascii="Helvetica" w:hAnsi="Helvetica" w:cs="Helvetica"/>
          <w:b/>
          <w:bCs/>
          <w:sz w:val="17"/>
          <w:szCs w:val="17"/>
        </w:rPr>
      </w:pPr>
    </w:p>
    <w:p w14:paraId="14EF78D6" w14:textId="29E803D1" w:rsidR="00FA554E" w:rsidRPr="000259B3" w:rsidRDefault="00FA554E" w:rsidP="004024CE">
      <w:pPr>
        <w:rPr>
          <w:rFonts w:ascii="Helvetica" w:hAnsi="Helvetica" w:cs="Helvetica"/>
          <w:b/>
          <w:bCs/>
          <w:sz w:val="17"/>
          <w:szCs w:val="17"/>
        </w:rPr>
      </w:pPr>
      <w:r w:rsidRPr="000259B3">
        <w:rPr>
          <w:rFonts w:ascii="Helvetica" w:hAnsi="Helvetica" w:cs="Helvetica"/>
          <w:b/>
          <w:bCs/>
          <w:sz w:val="17"/>
          <w:szCs w:val="17"/>
        </w:rPr>
        <w:lastRenderedPageBreak/>
        <w:t>Table 2:</w:t>
      </w:r>
      <w:r w:rsidR="00A75A9C" w:rsidRPr="000259B3">
        <w:rPr>
          <w:rFonts w:ascii="Helvetica" w:hAnsi="Helvetica" w:cs="Helvetica"/>
          <w:b/>
          <w:bCs/>
          <w:sz w:val="17"/>
          <w:szCs w:val="17"/>
        </w:rPr>
        <w:t xml:space="preserve"> FRC client population by gender and age 1 </w:t>
      </w:r>
      <w:r w:rsidR="000259B3">
        <w:rPr>
          <w:rFonts w:ascii="Helvetica" w:hAnsi="Helvetica" w:cs="Helvetica"/>
          <w:b/>
          <w:bCs/>
          <w:sz w:val="17"/>
          <w:szCs w:val="17"/>
        </w:rPr>
        <w:t>July</w:t>
      </w:r>
      <w:r w:rsidR="00A75A9C" w:rsidRPr="000259B3">
        <w:rPr>
          <w:rFonts w:ascii="Helvetica" w:hAnsi="Helvetica" w:cs="Helvetica"/>
          <w:b/>
          <w:bCs/>
          <w:sz w:val="17"/>
          <w:szCs w:val="17"/>
        </w:rPr>
        <w:t xml:space="preserve"> 20</w:t>
      </w:r>
      <w:r w:rsidR="000259B3">
        <w:rPr>
          <w:rFonts w:ascii="Helvetica" w:hAnsi="Helvetica" w:cs="Helvetica"/>
          <w:b/>
          <w:bCs/>
          <w:sz w:val="17"/>
          <w:szCs w:val="17"/>
        </w:rPr>
        <w:t>19</w:t>
      </w:r>
      <w:r w:rsidR="00A75A9C" w:rsidRPr="000259B3">
        <w:rPr>
          <w:rFonts w:ascii="Helvetica" w:hAnsi="Helvetica" w:cs="Helvetica"/>
          <w:b/>
          <w:bCs/>
          <w:sz w:val="17"/>
          <w:szCs w:val="17"/>
        </w:rPr>
        <w:t xml:space="preserve"> to 3</w:t>
      </w:r>
      <w:r w:rsidR="000259B3">
        <w:rPr>
          <w:rFonts w:ascii="Helvetica" w:hAnsi="Helvetica" w:cs="Helvetica"/>
          <w:b/>
          <w:bCs/>
          <w:sz w:val="17"/>
          <w:szCs w:val="17"/>
        </w:rPr>
        <w:t xml:space="preserve">0 June </w:t>
      </w:r>
      <w:r w:rsidR="00A75A9C" w:rsidRPr="000259B3">
        <w:rPr>
          <w:rFonts w:ascii="Helvetica" w:hAnsi="Helvetica" w:cs="Helvetica"/>
          <w:b/>
          <w:bCs/>
          <w:sz w:val="17"/>
          <w:szCs w:val="17"/>
        </w:rPr>
        <w:t>2020.</w:t>
      </w:r>
    </w:p>
    <w:tbl>
      <w:tblPr>
        <w:tblStyle w:val="TableGrid"/>
        <w:tblW w:w="0" w:type="auto"/>
        <w:tblInd w:w="-5" w:type="dxa"/>
        <w:tblLook w:val="04A0" w:firstRow="1" w:lastRow="0" w:firstColumn="1" w:lastColumn="0" w:noHBand="0" w:noVBand="1"/>
      </w:tblPr>
      <w:tblGrid>
        <w:gridCol w:w="4204"/>
        <w:gridCol w:w="906"/>
        <w:gridCol w:w="989"/>
        <w:gridCol w:w="388"/>
        <w:gridCol w:w="1006"/>
        <w:gridCol w:w="1006"/>
      </w:tblGrid>
      <w:tr w:rsidR="00FA554E" w:rsidRPr="004E2074" w14:paraId="0F6AC19C" w14:textId="77777777" w:rsidTr="00CC7AC1">
        <w:tc>
          <w:tcPr>
            <w:tcW w:w="4204" w:type="dxa"/>
            <w:shd w:val="clear" w:color="auto" w:fill="808080" w:themeFill="background1" w:themeFillShade="80"/>
          </w:tcPr>
          <w:p w14:paraId="41FB6C34" w14:textId="77777777" w:rsidR="00FA554E" w:rsidRPr="006B1FFA" w:rsidRDefault="00FA554E" w:rsidP="004024CE">
            <w:pPr>
              <w:rPr>
                <w:rFonts w:eastAsiaTheme="minorHAnsi"/>
                <w:b/>
                <w:bCs/>
                <w:color w:val="FFFFFF" w:themeColor="background1"/>
                <w:lang w:eastAsia="en-US"/>
              </w:rPr>
            </w:pPr>
            <w:r w:rsidRPr="006B1FFA">
              <w:rPr>
                <w:rFonts w:eastAsiaTheme="minorHAnsi"/>
                <w:b/>
                <w:bCs/>
                <w:color w:val="FFFFFF" w:themeColor="background1"/>
                <w:lang w:eastAsia="en-US"/>
              </w:rPr>
              <w:t>Information for the financial year</w:t>
            </w:r>
          </w:p>
        </w:tc>
        <w:tc>
          <w:tcPr>
            <w:tcW w:w="906" w:type="dxa"/>
            <w:shd w:val="clear" w:color="auto" w:fill="808080" w:themeFill="background1" w:themeFillShade="80"/>
          </w:tcPr>
          <w:p w14:paraId="6572E526" w14:textId="49E947F1" w:rsidR="00FA554E" w:rsidRPr="006B1FFA" w:rsidRDefault="00FA554E" w:rsidP="00554C37">
            <w:pPr>
              <w:jc w:val="right"/>
              <w:rPr>
                <w:rFonts w:eastAsiaTheme="minorHAnsi"/>
                <w:b/>
                <w:bCs/>
                <w:color w:val="FFFFFF" w:themeColor="background1"/>
                <w:lang w:eastAsia="en-US"/>
              </w:rPr>
            </w:pPr>
            <w:r w:rsidRPr="006B1FFA">
              <w:rPr>
                <w:rFonts w:eastAsiaTheme="minorHAnsi"/>
                <w:b/>
                <w:bCs/>
                <w:color w:val="FFFFFF" w:themeColor="background1"/>
                <w:lang w:eastAsia="en-US"/>
              </w:rPr>
              <w:t xml:space="preserve">Female </w:t>
            </w:r>
            <w:r w:rsidR="00A8637B">
              <w:rPr>
                <w:rFonts w:eastAsiaTheme="minorHAnsi"/>
                <w:b/>
                <w:bCs/>
                <w:color w:val="FFFFFF" w:themeColor="background1"/>
                <w:lang w:eastAsia="en-US"/>
              </w:rPr>
              <w:t>c</w:t>
            </w:r>
            <w:r w:rsidRPr="006B1FFA">
              <w:rPr>
                <w:rFonts w:eastAsiaTheme="minorHAnsi"/>
                <w:b/>
                <w:bCs/>
                <w:color w:val="FFFFFF" w:themeColor="background1"/>
                <w:lang w:eastAsia="en-US"/>
              </w:rPr>
              <w:t>ount</w:t>
            </w:r>
          </w:p>
        </w:tc>
        <w:tc>
          <w:tcPr>
            <w:tcW w:w="989" w:type="dxa"/>
            <w:shd w:val="clear" w:color="auto" w:fill="808080" w:themeFill="background1" w:themeFillShade="80"/>
          </w:tcPr>
          <w:p w14:paraId="03CDCFFB" w14:textId="1579B7AE" w:rsidR="00FA554E" w:rsidRPr="006B1FFA" w:rsidRDefault="00FA554E" w:rsidP="00554C37">
            <w:pPr>
              <w:jc w:val="right"/>
              <w:rPr>
                <w:rFonts w:eastAsiaTheme="minorHAnsi"/>
                <w:b/>
                <w:bCs/>
                <w:color w:val="FFFFFF" w:themeColor="background1"/>
                <w:lang w:eastAsia="en-US"/>
              </w:rPr>
            </w:pPr>
            <w:r w:rsidRPr="006B1FFA">
              <w:rPr>
                <w:rFonts w:eastAsiaTheme="minorHAnsi"/>
                <w:b/>
                <w:bCs/>
                <w:color w:val="FFFFFF" w:themeColor="background1"/>
                <w:lang w:eastAsia="en-US"/>
              </w:rPr>
              <w:t xml:space="preserve">Male </w:t>
            </w:r>
            <w:r w:rsidR="00A8637B">
              <w:rPr>
                <w:rFonts w:eastAsiaTheme="minorHAnsi"/>
                <w:b/>
                <w:bCs/>
                <w:color w:val="FFFFFF" w:themeColor="background1"/>
                <w:lang w:eastAsia="en-US"/>
              </w:rPr>
              <w:t>c</w:t>
            </w:r>
            <w:r w:rsidRPr="006B1FFA">
              <w:rPr>
                <w:rFonts w:eastAsiaTheme="minorHAnsi"/>
                <w:b/>
                <w:bCs/>
                <w:color w:val="FFFFFF" w:themeColor="background1"/>
                <w:lang w:eastAsia="en-US"/>
              </w:rPr>
              <w:t>ount</w:t>
            </w:r>
          </w:p>
        </w:tc>
        <w:tc>
          <w:tcPr>
            <w:tcW w:w="388" w:type="dxa"/>
            <w:tcBorders>
              <w:top w:val="nil"/>
              <w:bottom w:val="nil"/>
            </w:tcBorders>
          </w:tcPr>
          <w:p w14:paraId="09B07640" w14:textId="77777777" w:rsidR="00FA554E" w:rsidRPr="00A75A9C" w:rsidRDefault="00FA554E" w:rsidP="00554C37">
            <w:pPr>
              <w:jc w:val="right"/>
              <w:rPr>
                <w:rFonts w:eastAsiaTheme="minorHAnsi"/>
                <w:b/>
                <w:bCs/>
                <w:lang w:eastAsia="en-US"/>
              </w:rPr>
            </w:pPr>
          </w:p>
        </w:tc>
        <w:tc>
          <w:tcPr>
            <w:tcW w:w="1006" w:type="dxa"/>
            <w:shd w:val="clear" w:color="auto" w:fill="808080" w:themeFill="background1" w:themeFillShade="80"/>
          </w:tcPr>
          <w:p w14:paraId="51B53337" w14:textId="79883A7E" w:rsidR="00FA554E" w:rsidRPr="006B1FFA" w:rsidRDefault="00FA554E" w:rsidP="00554C37">
            <w:pPr>
              <w:jc w:val="right"/>
              <w:rPr>
                <w:rFonts w:eastAsiaTheme="minorHAnsi"/>
                <w:b/>
                <w:bCs/>
                <w:color w:val="FFFFFF" w:themeColor="background1"/>
                <w:lang w:eastAsia="en-US"/>
              </w:rPr>
            </w:pPr>
            <w:r w:rsidRPr="006B1FFA">
              <w:rPr>
                <w:rFonts w:eastAsiaTheme="minorHAnsi"/>
                <w:b/>
                <w:bCs/>
                <w:color w:val="FFFFFF" w:themeColor="background1"/>
                <w:lang w:eastAsia="en-US"/>
              </w:rPr>
              <w:t xml:space="preserve">Female </w:t>
            </w:r>
            <w:r w:rsidR="00A8637B">
              <w:rPr>
                <w:rFonts w:eastAsiaTheme="minorHAnsi"/>
                <w:b/>
                <w:bCs/>
                <w:color w:val="FFFFFF" w:themeColor="background1"/>
                <w:lang w:eastAsia="en-US"/>
              </w:rPr>
              <w:t>a</w:t>
            </w:r>
            <w:r w:rsidRPr="006B1FFA">
              <w:rPr>
                <w:rFonts w:eastAsiaTheme="minorHAnsi"/>
                <w:b/>
                <w:bCs/>
                <w:color w:val="FFFFFF" w:themeColor="background1"/>
                <w:lang w:eastAsia="en-US"/>
              </w:rPr>
              <w:t>verage age</w:t>
            </w:r>
          </w:p>
        </w:tc>
        <w:tc>
          <w:tcPr>
            <w:tcW w:w="1006" w:type="dxa"/>
            <w:shd w:val="clear" w:color="auto" w:fill="808080" w:themeFill="background1" w:themeFillShade="80"/>
          </w:tcPr>
          <w:p w14:paraId="2F7AA723" w14:textId="7A38DB05" w:rsidR="00FA554E" w:rsidRPr="006B1FFA" w:rsidRDefault="00FA554E" w:rsidP="00554C37">
            <w:pPr>
              <w:jc w:val="right"/>
              <w:rPr>
                <w:rFonts w:eastAsiaTheme="minorHAnsi"/>
                <w:b/>
                <w:bCs/>
                <w:color w:val="FFFFFF" w:themeColor="background1"/>
                <w:lang w:eastAsia="en-US"/>
              </w:rPr>
            </w:pPr>
            <w:r w:rsidRPr="006B1FFA">
              <w:rPr>
                <w:rFonts w:eastAsiaTheme="minorHAnsi"/>
                <w:b/>
                <w:bCs/>
                <w:color w:val="FFFFFF" w:themeColor="background1"/>
                <w:lang w:eastAsia="en-US"/>
              </w:rPr>
              <w:t xml:space="preserve">Male </w:t>
            </w:r>
            <w:r w:rsidR="00A8637B">
              <w:rPr>
                <w:rFonts w:eastAsiaTheme="minorHAnsi"/>
                <w:b/>
                <w:bCs/>
                <w:color w:val="FFFFFF" w:themeColor="background1"/>
                <w:lang w:eastAsia="en-US"/>
              </w:rPr>
              <w:t>a</w:t>
            </w:r>
            <w:r w:rsidRPr="006B1FFA">
              <w:rPr>
                <w:rFonts w:eastAsiaTheme="minorHAnsi"/>
                <w:b/>
                <w:bCs/>
                <w:color w:val="FFFFFF" w:themeColor="background1"/>
                <w:lang w:eastAsia="en-US"/>
              </w:rPr>
              <w:t>verage age</w:t>
            </w:r>
          </w:p>
        </w:tc>
      </w:tr>
      <w:tr w:rsidR="00FA554E" w:rsidRPr="004E2074" w14:paraId="75737A0D" w14:textId="77777777" w:rsidTr="00CC7AC1">
        <w:tc>
          <w:tcPr>
            <w:tcW w:w="4204" w:type="dxa"/>
          </w:tcPr>
          <w:p w14:paraId="0D9233A0" w14:textId="67F17BAA" w:rsidR="00FA554E" w:rsidRPr="004E2074" w:rsidRDefault="00FA554E" w:rsidP="004024CE">
            <w:pPr>
              <w:rPr>
                <w:rFonts w:eastAsiaTheme="minorHAnsi"/>
                <w:lang w:eastAsia="en-US"/>
              </w:rPr>
            </w:pPr>
            <w:r w:rsidRPr="004E2074">
              <w:rPr>
                <w:rFonts w:eastAsiaTheme="minorHAnsi"/>
                <w:lang w:eastAsia="en-US"/>
              </w:rPr>
              <w:t>Clients who received a notice during the financial year</w:t>
            </w:r>
            <w:r w:rsidR="00135EAC">
              <w:rPr>
                <w:rStyle w:val="FootnoteReference"/>
                <w:rFonts w:eastAsiaTheme="minorHAnsi"/>
                <w:lang w:eastAsia="en-US"/>
              </w:rPr>
              <w:footnoteReference w:id="3"/>
            </w:r>
          </w:p>
        </w:tc>
        <w:tc>
          <w:tcPr>
            <w:tcW w:w="906" w:type="dxa"/>
          </w:tcPr>
          <w:p w14:paraId="3CD32C36" w14:textId="77777777" w:rsidR="00FA554E" w:rsidRPr="004E2074" w:rsidRDefault="00FA554E" w:rsidP="00554C37">
            <w:pPr>
              <w:jc w:val="right"/>
              <w:rPr>
                <w:rFonts w:eastAsiaTheme="minorHAnsi"/>
                <w:lang w:eastAsia="en-US"/>
              </w:rPr>
            </w:pPr>
            <w:r w:rsidRPr="004E2074">
              <w:rPr>
                <w:rFonts w:eastAsiaTheme="minorHAnsi"/>
                <w:lang w:eastAsia="en-US"/>
              </w:rPr>
              <w:t>686</w:t>
            </w:r>
          </w:p>
        </w:tc>
        <w:tc>
          <w:tcPr>
            <w:tcW w:w="989" w:type="dxa"/>
          </w:tcPr>
          <w:p w14:paraId="0C53D81B" w14:textId="77777777" w:rsidR="00FA554E" w:rsidRPr="004E2074" w:rsidRDefault="00FA554E" w:rsidP="00554C37">
            <w:pPr>
              <w:jc w:val="right"/>
              <w:rPr>
                <w:rFonts w:eastAsiaTheme="minorHAnsi"/>
                <w:lang w:eastAsia="en-US"/>
              </w:rPr>
            </w:pPr>
            <w:r w:rsidRPr="004E2074">
              <w:rPr>
                <w:rFonts w:eastAsiaTheme="minorHAnsi"/>
                <w:lang w:eastAsia="en-US"/>
              </w:rPr>
              <w:t>531</w:t>
            </w:r>
          </w:p>
        </w:tc>
        <w:tc>
          <w:tcPr>
            <w:tcW w:w="388" w:type="dxa"/>
            <w:tcBorders>
              <w:top w:val="nil"/>
              <w:bottom w:val="nil"/>
            </w:tcBorders>
          </w:tcPr>
          <w:p w14:paraId="0796380A" w14:textId="77777777" w:rsidR="00FA554E" w:rsidRPr="004E2074" w:rsidRDefault="00FA554E" w:rsidP="00554C37">
            <w:pPr>
              <w:jc w:val="right"/>
              <w:rPr>
                <w:rFonts w:eastAsiaTheme="minorHAnsi"/>
                <w:lang w:eastAsia="en-US"/>
              </w:rPr>
            </w:pPr>
          </w:p>
        </w:tc>
        <w:tc>
          <w:tcPr>
            <w:tcW w:w="1006" w:type="dxa"/>
          </w:tcPr>
          <w:p w14:paraId="28F07BE6" w14:textId="77777777" w:rsidR="00FA554E" w:rsidRPr="004E2074" w:rsidRDefault="00FA554E" w:rsidP="00554C37">
            <w:pPr>
              <w:jc w:val="right"/>
              <w:rPr>
                <w:rFonts w:eastAsiaTheme="minorHAnsi"/>
                <w:lang w:eastAsia="en-US"/>
              </w:rPr>
            </w:pPr>
            <w:r w:rsidRPr="004E2074">
              <w:rPr>
                <w:rFonts w:eastAsiaTheme="minorHAnsi"/>
                <w:lang w:eastAsia="en-US"/>
              </w:rPr>
              <w:t>36</w:t>
            </w:r>
          </w:p>
        </w:tc>
        <w:tc>
          <w:tcPr>
            <w:tcW w:w="1006" w:type="dxa"/>
          </w:tcPr>
          <w:p w14:paraId="2CCDFD19" w14:textId="77777777" w:rsidR="00FA554E" w:rsidRPr="004E2074" w:rsidRDefault="00FA554E" w:rsidP="00554C37">
            <w:pPr>
              <w:jc w:val="right"/>
              <w:rPr>
                <w:rFonts w:eastAsiaTheme="minorHAnsi"/>
                <w:lang w:eastAsia="en-US"/>
              </w:rPr>
            </w:pPr>
            <w:r w:rsidRPr="004E2074">
              <w:rPr>
                <w:rFonts w:eastAsiaTheme="minorHAnsi"/>
                <w:lang w:eastAsia="en-US"/>
              </w:rPr>
              <w:t>37</w:t>
            </w:r>
          </w:p>
        </w:tc>
      </w:tr>
      <w:tr w:rsidR="00FA554E" w:rsidRPr="004E2074" w14:paraId="6279FFD2" w14:textId="77777777" w:rsidTr="00CC7AC1">
        <w:tc>
          <w:tcPr>
            <w:tcW w:w="4204" w:type="dxa"/>
          </w:tcPr>
          <w:p w14:paraId="6A1E39FC" w14:textId="77777777" w:rsidR="00FA554E" w:rsidRPr="004E2074" w:rsidRDefault="00FA554E" w:rsidP="004024CE">
            <w:pPr>
              <w:rPr>
                <w:rFonts w:eastAsiaTheme="minorHAnsi"/>
                <w:lang w:eastAsia="en-US"/>
              </w:rPr>
            </w:pPr>
            <w:r w:rsidRPr="004E2074">
              <w:rPr>
                <w:rFonts w:eastAsiaTheme="minorHAnsi"/>
                <w:lang w:eastAsia="en-US"/>
              </w:rPr>
              <w:t>Clients who conferenced during the financial year</w:t>
            </w:r>
            <w:r w:rsidRPr="004E2074">
              <w:rPr>
                <w:rFonts w:eastAsiaTheme="minorHAnsi"/>
                <w:vertAlign w:val="superscript"/>
                <w:lang w:eastAsia="en-US"/>
              </w:rPr>
              <w:footnoteReference w:id="4"/>
            </w:r>
          </w:p>
        </w:tc>
        <w:tc>
          <w:tcPr>
            <w:tcW w:w="906" w:type="dxa"/>
          </w:tcPr>
          <w:p w14:paraId="24A35CBA" w14:textId="77777777" w:rsidR="00FA554E" w:rsidRPr="004E2074" w:rsidRDefault="00FA554E" w:rsidP="00554C37">
            <w:pPr>
              <w:jc w:val="right"/>
              <w:rPr>
                <w:rFonts w:eastAsiaTheme="minorHAnsi"/>
                <w:lang w:eastAsia="en-US"/>
              </w:rPr>
            </w:pPr>
            <w:r w:rsidRPr="004E2074">
              <w:rPr>
                <w:rFonts w:eastAsiaTheme="minorHAnsi"/>
                <w:lang w:eastAsia="en-US"/>
              </w:rPr>
              <w:t>477</w:t>
            </w:r>
          </w:p>
        </w:tc>
        <w:tc>
          <w:tcPr>
            <w:tcW w:w="989" w:type="dxa"/>
          </w:tcPr>
          <w:p w14:paraId="2A291FCB" w14:textId="77777777" w:rsidR="00FA554E" w:rsidRPr="004E2074" w:rsidRDefault="00FA554E" w:rsidP="00554C37">
            <w:pPr>
              <w:jc w:val="right"/>
              <w:rPr>
                <w:rFonts w:eastAsiaTheme="minorHAnsi"/>
                <w:lang w:eastAsia="en-US"/>
              </w:rPr>
            </w:pPr>
            <w:r w:rsidRPr="004E2074">
              <w:rPr>
                <w:rFonts w:eastAsiaTheme="minorHAnsi"/>
                <w:lang w:eastAsia="en-US"/>
              </w:rPr>
              <w:t>334</w:t>
            </w:r>
          </w:p>
        </w:tc>
        <w:tc>
          <w:tcPr>
            <w:tcW w:w="388" w:type="dxa"/>
            <w:tcBorders>
              <w:top w:val="nil"/>
              <w:bottom w:val="nil"/>
            </w:tcBorders>
          </w:tcPr>
          <w:p w14:paraId="06B56885" w14:textId="77777777" w:rsidR="00FA554E" w:rsidRPr="004E2074" w:rsidRDefault="00FA554E" w:rsidP="00554C37">
            <w:pPr>
              <w:jc w:val="right"/>
              <w:rPr>
                <w:rFonts w:eastAsiaTheme="minorHAnsi"/>
                <w:lang w:eastAsia="en-US"/>
              </w:rPr>
            </w:pPr>
          </w:p>
        </w:tc>
        <w:tc>
          <w:tcPr>
            <w:tcW w:w="1006" w:type="dxa"/>
          </w:tcPr>
          <w:p w14:paraId="78776B83" w14:textId="77777777" w:rsidR="00FA554E" w:rsidRPr="004E2074" w:rsidRDefault="00FA554E" w:rsidP="00554C37">
            <w:pPr>
              <w:jc w:val="right"/>
              <w:rPr>
                <w:rFonts w:eastAsiaTheme="minorHAnsi"/>
                <w:lang w:eastAsia="en-US"/>
              </w:rPr>
            </w:pPr>
            <w:r w:rsidRPr="004E2074">
              <w:rPr>
                <w:rFonts w:eastAsiaTheme="minorHAnsi"/>
                <w:lang w:eastAsia="en-US"/>
              </w:rPr>
              <w:t>36</w:t>
            </w:r>
          </w:p>
        </w:tc>
        <w:tc>
          <w:tcPr>
            <w:tcW w:w="1006" w:type="dxa"/>
          </w:tcPr>
          <w:p w14:paraId="18647F72" w14:textId="77777777" w:rsidR="00FA554E" w:rsidRPr="004E2074" w:rsidRDefault="00FA554E" w:rsidP="00554C37">
            <w:pPr>
              <w:jc w:val="right"/>
              <w:rPr>
                <w:rFonts w:eastAsiaTheme="minorHAnsi"/>
                <w:lang w:eastAsia="en-US"/>
              </w:rPr>
            </w:pPr>
            <w:r w:rsidRPr="004E2074">
              <w:rPr>
                <w:rFonts w:eastAsiaTheme="minorHAnsi"/>
                <w:lang w:eastAsia="en-US"/>
              </w:rPr>
              <w:t>36</w:t>
            </w:r>
          </w:p>
        </w:tc>
      </w:tr>
      <w:tr w:rsidR="00FA554E" w:rsidRPr="004E2074" w14:paraId="08A66807" w14:textId="77777777" w:rsidTr="00CC7AC1">
        <w:tc>
          <w:tcPr>
            <w:tcW w:w="4204" w:type="dxa"/>
          </w:tcPr>
          <w:p w14:paraId="7D57F919" w14:textId="77777777" w:rsidR="00FA554E" w:rsidRPr="004E2074" w:rsidRDefault="00FA554E" w:rsidP="004024CE">
            <w:pPr>
              <w:rPr>
                <w:rFonts w:eastAsiaTheme="minorHAnsi"/>
                <w:lang w:eastAsia="en-US"/>
              </w:rPr>
            </w:pPr>
            <w:r w:rsidRPr="004E2074">
              <w:rPr>
                <w:rFonts w:eastAsiaTheme="minorHAnsi"/>
                <w:lang w:eastAsia="en-US"/>
              </w:rPr>
              <w:t>Clients referred during the financial year</w:t>
            </w:r>
            <w:r w:rsidRPr="004E2074">
              <w:rPr>
                <w:rFonts w:eastAsiaTheme="minorHAnsi"/>
                <w:vertAlign w:val="superscript"/>
                <w:lang w:eastAsia="en-US"/>
              </w:rPr>
              <w:footnoteReference w:id="5"/>
            </w:r>
          </w:p>
        </w:tc>
        <w:tc>
          <w:tcPr>
            <w:tcW w:w="906" w:type="dxa"/>
          </w:tcPr>
          <w:p w14:paraId="32FC1DCF" w14:textId="77777777" w:rsidR="00FA554E" w:rsidRPr="004E2074" w:rsidRDefault="00FA554E" w:rsidP="00554C37">
            <w:pPr>
              <w:jc w:val="right"/>
              <w:rPr>
                <w:rFonts w:eastAsiaTheme="minorHAnsi"/>
                <w:lang w:eastAsia="en-US"/>
              </w:rPr>
            </w:pPr>
            <w:r w:rsidRPr="004E2074">
              <w:rPr>
                <w:rFonts w:eastAsiaTheme="minorHAnsi"/>
                <w:lang w:eastAsia="en-US"/>
              </w:rPr>
              <w:t>181</w:t>
            </w:r>
          </w:p>
        </w:tc>
        <w:tc>
          <w:tcPr>
            <w:tcW w:w="989" w:type="dxa"/>
          </w:tcPr>
          <w:p w14:paraId="0D104D11" w14:textId="77777777" w:rsidR="00FA554E" w:rsidRPr="004E2074" w:rsidRDefault="00FA554E" w:rsidP="00554C37">
            <w:pPr>
              <w:jc w:val="right"/>
              <w:rPr>
                <w:rFonts w:eastAsiaTheme="minorHAnsi"/>
                <w:lang w:eastAsia="en-US"/>
              </w:rPr>
            </w:pPr>
            <w:r w:rsidRPr="004E2074">
              <w:rPr>
                <w:rFonts w:eastAsiaTheme="minorHAnsi"/>
                <w:lang w:eastAsia="en-US"/>
              </w:rPr>
              <w:t>105</w:t>
            </w:r>
          </w:p>
        </w:tc>
        <w:tc>
          <w:tcPr>
            <w:tcW w:w="388" w:type="dxa"/>
            <w:tcBorders>
              <w:top w:val="nil"/>
              <w:bottom w:val="nil"/>
            </w:tcBorders>
          </w:tcPr>
          <w:p w14:paraId="456947DD" w14:textId="77777777" w:rsidR="00FA554E" w:rsidRPr="004E2074" w:rsidRDefault="00FA554E" w:rsidP="00554C37">
            <w:pPr>
              <w:jc w:val="right"/>
              <w:rPr>
                <w:rFonts w:eastAsiaTheme="minorHAnsi"/>
                <w:lang w:eastAsia="en-US"/>
              </w:rPr>
            </w:pPr>
          </w:p>
        </w:tc>
        <w:tc>
          <w:tcPr>
            <w:tcW w:w="1006" w:type="dxa"/>
          </w:tcPr>
          <w:p w14:paraId="72F6B615" w14:textId="77777777" w:rsidR="00FA554E" w:rsidRPr="004E2074" w:rsidRDefault="00FA554E" w:rsidP="00554C37">
            <w:pPr>
              <w:jc w:val="right"/>
              <w:rPr>
                <w:rFonts w:eastAsiaTheme="minorHAnsi"/>
                <w:lang w:eastAsia="en-US"/>
              </w:rPr>
            </w:pPr>
            <w:r w:rsidRPr="004E2074">
              <w:rPr>
                <w:rFonts w:eastAsiaTheme="minorHAnsi"/>
                <w:lang w:eastAsia="en-US"/>
              </w:rPr>
              <w:t>36</w:t>
            </w:r>
          </w:p>
        </w:tc>
        <w:tc>
          <w:tcPr>
            <w:tcW w:w="1006" w:type="dxa"/>
          </w:tcPr>
          <w:p w14:paraId="7DB44ACC" w14:textId="77777777" w:rsidR="00FA554E" w:rsidRPr="004E2074" w:rsidRDefault="00FA554E" w:rsidP="00554C37">
            <w:pPr>
              <w:jc w:val="right"/>
              <w:rPr>
                <w:rFonts w:eastAsiaTheme="minorHAnsi"/>
                <w:lang w:eastAsia="en-US"/>
              </w:rPr>
            </w:pPr>
            <w:r w:rsidRPr="004E2074">
              <w:rPr>
                <w:rFonts w:eastAsiaTheme="minorHAnsi"/>
                <w:lang w:eastAsia="en-US"/>
              </w:rPr>
              <w:t>35</w:t>
            </w:r>
          </w:p>
        </w:tc>
      </w:tr>
      <w:tr w:rsidR="00FA554E" w:rsidRPr="004E2074" w14:paraId="3454E367" w14:textId="77777777" w:rsidTr="00CC7AC1">
        <w:tc>
          <w:tcPr>
            <w:tcW w:w="4204" w:type="dxa"/>
          </w:tcPr>
          <w:p w14:paraId="72F18804" w14:textId="77777777" w:rsidR="00FA554E" w:rsidRPr="004E2074" w:rsidRDefault="00FA554E" w:rsidP="004024CE">
            <w:pPr>
              <w:rPr>
                <w:rFonts w:eastAsiaTheme="minorHAnsi"/>
                <w:lang w:eastAsia="en-US"/>
              </w:rPr>
            </w:pPr>
            <w:r w:rsidRPr="004E2074">
              <w:rPr>
                <w:rFonts w:eastAsiaTheme="minorHAnsi"/>
                <w:lang w:eastAsia="en-US"/>
              </w:rPr>
              <w:t>Clients placed on CIM during the financial year</w:t>
            </w:r>
            <w:r w:rsidRPr="004E2074">
              <w:rPr>
                <w:rFonts w:eastAsiaTheme="minorHAnsi"/>
                <w:vertAlign w:val="superscript"/>
                <w:lang w:eastAsia="en-US"/>
              </w:rPr>
              <w:footnoteReference w:id="6"/>
            </w:r>
          </w:p>
        </w:tc>
        <w:tc>
          <w:tcPr>
            <w:tcW w:w="906" w:type="dxa"/>
          </w:tcPr>
          <w:p w14:paraId="36FBF97D" w14:textId="77777777" w:rsidR="00FA554E" w:rsidRPr="004E2074" w:rsidRDefault="00FA554E" w:rsidP="00554C37">
            <w:pPr>
              <w:jc w:val="right"/>
              <w:rPr>
                <w:rFonts w:eastAsiaTheme="minorHAnsi"/>
                <w:lang w:eastAsia="en-US"/>
              </w:rPr>
            </w:pPr>
            <w:r w:rsidRPr="004E2074">
              <w:rPr>
                <w:rFonts w:eastAsiaTheme="minorHAnsi"/>
                <w:lang w:eastAsia="en-US"/>
              </w:rPr>
              <w:t>132</w:t>
            </w:r>
          </w:p>
        </w:tc>
        <w:tc>
          <w:tcPr>
            <w:tcW w:w="989" w:type="dxa"/>
          </w:tcPr>
          <w:p w14:paraId="7B9F09F2" w14:textId="77777777" w:rsidR="00FA554E" w:rsidRPr="004E2074" w:rsidRDefault="00FA554E" w:rsidP="00554C37">
            <w:pPr>
              <w:jc w:val="right"/>
              <w:rPr>
                <w:rFonts w:eastAsiaTheme="minorHAnsi"/>
                <w:lang w:eastAsia="en-US"/>
              </w:rPr>
            </w:pPr>
            <w:r w:rsidRPr="004E2074">
              <w:rPr>
                <w:rFonts w:eastAsiaTheme="minorHAnsi"/>
                <w:lang w:eastAsia="en-US"/>
              </w:rPr>
              <w:t>33</w:t>
            </w:r>
          </w:p>
        </w:tc>
        <w:tc>
          <w:tcPr>
            <w:tcW w:w="388" w:type="dxa"/>
            <w:tcBorders>
              <w:top w:val="nil"/>
              <w:bottom w:val="nil"/>
            </w:tcBorders>
          </w:tcPr>
          <w:p w14:paraId="1F4D8B71" w14:textId="77777777" w:rsidR="00FA554E" w:rsidRPr="004E2074" w:rsidRDefault="00FA554E" w:rsidP="00554C37">
            <w:pPr>
              <w:jc w:val="right"/>
              <w:rPr>
                <w:rFonts w:eastAsiaTheme="minorHAnsi"/>
                <w:lang w:eastAsia="en-US"/>
              </w:rPr>
            </w:pPr>
          </w:p>
        </w:tc>
        <w:tc>
          <w:tcPr>
            <w:tcW w:w="1006" w:type="dxa"/>
          </w:tcPr>
          <w:p w14:paraId="7CEB31B5" w14:textId="77777777" w:rsidR="00FA554E" w:rsidRPr="004E2074" w:rsidRDefault="00FA554E" w:rsidP="00554C37">
            <w:pPr>
              <w:jc w:val="right"/>
              <w:rPr>
                <w:rFonts w:eastAsiaTheme="minorHAnsi"/>
                <w:lang w:eastAsia="en-US"/>
              </w:rPr>
            </w:pPr>
            <w:r w:rsidRPr="004E2074">
              <w:rPr>
                <w:rFonts w:eastAsiaTheme="minorHAnsi"/>
                <w:lang w:eastAsia="en-US"/>
              </w:rPr>
              <w:t>36</w:t>
            </w:r>
          </w:p>
        </w:tc>
        <w:tc>
          <w:tcPr>
            <w:tcW w:w="1006" w:type="dxa"/>
          </w:tcPr>
          <w:p w14:paraId="65DEEDC7" w14:textId="77777777" w:rsidR="00FA554E" w:rsidRPr="004E2074" w:rsidRDefault="00FA554E" w:rsidP="00554C37">
            <w:pPr>
              <w:jc w:val="right"/>
              <w:rPr>
                <w:rFonts w:eastAsiaTheme="minorHAnsi"/>
                <w:lang w:eastAsia="en-US"/>
              </w:rPr>
            </w:pPr>
            <w:r w:rsidRPr="004E2074">
              <w:rPr>
                <w:rFonts w:eastAsiaTheme="minorHAnsi"/>
                <w:lang w:eastAsia="en-US"/>
              </w:rPr>
              <w:t>36</w:t>
            </w:r>
          </w:p>
        </w:tc>
      </w:tr>
      <w:tr w:rsidR="00CC7AC1" w:rsidRPr="004E2074" w14:paraId="0660DE90" w14:textId="77777777" w:rsidTr="00CC7AC1">
        <w:tc>
          <w:tcPr>
            <w:tcW w:w="4204" w:type="dxa"/>
          </w:tcPr>
          <w:p w14:paraId="48FC7929" w14:textId="40863A1C" w:rsidR="00CC7AC1" w:rsidRPr="004E2074" w:rsidRDefault="00CC7AC1" w:rsidP="00CC7AC1">
            <w:r w:rsidRPr="004E2074">
              <w:rPr>
                <w:rFonts w:eastAsiaTheme="minorHAnsi"/>
                <w:lang w:eastAsia="en-US"/>
              </w:rPr>
              <w:t xml:space="preserve">Clients placed on </w:t>
            </w:r>
            <w:r>
              <w:rPr>
                <w:rFonts w:eastAsiaTheme="minorHAnsi"/>
                <w:lang w:eastAsia="en-US"/>
              </w:rPr>
              <w:t>V</w:t>
            </w:r>
            <w:r w:rsidRPr="004E2074">
              <w:rPr>
                <w:rFonts w:eastAsiaTheme="minorHAnsi"/>
                <w:lang w:eastAsia="en-US"/>
              </w:rPr>
              <w:t>IM during the financial year</w:t>
            </w:r>
            <w:r w:rsidRPr="004E2074">
              <w:rPr>
                <w:rFonts w:eastAsiaTheme="minorHAnsi"/>
                <w:vertAlign w:val="superscript"/>
                <w:lang w:eastAsia="en-US"/>
              </w:rPr>
              <w:footnoteReference w:id="7"/>
            </w:r>
          </w:p>
        </w:tc>
        <w:tc>
          <w:tcPr>
            <w:tcW w:w="906" w:type="dxa"/>
          </w:tcPr>
          <w:p w14:paraId="18C0F1CA" w14:textId="52638B77" w:rsidR="00CC7AC1" w:rsidRPr="004E2074" w:rsidRDefault="00CC7AC1" w:rsidP="00CC7AC1">
            <w:pPr>
              <w:jc w:val="right"/>
            </w:pPr>
            <w:r>
              <w:t>8</w:t>
            </w:r>
          </w:p>
        </w:tc>
        <w:tc>
          <w:tcPr>
            <w:tcW w:w="989" w:type="dxa"/>
          </w:tcPr>
          <w:p w14:paraId="3D088855" w14:textId="024E958E" w:rsidR="00CC7AC1" w:rsidRPr="004E2074" w:rsidRDefault="00CC7AC1" w:rsidP="00CC7AC1">
            <w:pPr>
              <w:jc w:val="right"/>
            </w:pPr>
            <w:r>
              <w:rPr>
                <w:rFonts w:eastAsiaTheme="minorHAnsi"/>
                <w:lang w:eastAsia="en-US"/>
              </w:rPr>
              <w:t>10</w:t>
            </w:r>
          </w:p>
        </w:tc>
        <w:tc>
          <w:tcPr>
            <w:tcW w:w="388" w:type="dxa"/>
            <w:tcBorders>
              <w:top w:val="nil"/>
              <w:bottom w:val="nil"/>
            </w:tcBorders>
          </w:tcPr>
          <w:p w14:paraId="0B62F654" w14:textId="77777777" w:rsidR="00CC7AC1" w:rsidRPr="004E2074" w:rsidRDefault="00CC7AC1" w:rsidP="00CC7AC1">
            <w:pPr>
              <w:jc w:val="right"/>
            </w:pPr>
          </w:p>
        </w:tc>
        <w:tc>
          <w:tcPr>
            <w:tcW w:w="1006" w:type="dxa"/>
          </w:tcPr>
          <w:p w14:paraId="6E90B8FF" w14:textId="6679C23D" w:rsidR="00CC7AC1" w:rsidRPr="004E2074" w:rsidRDefault="00CC7AC1" w:rsidP="00CC7AC1">
            <w:pPr>
              <w:jc w:val="right"/>
            </w:pPr>
            <w:r w:rsidRPr="004E2074">
              <w:rPr>
                <w:rFonts w:eastAsiaTheme="minorHAnsi"/>
                <w:lang w:eastAsia="en-US"/>
              </w:rPr>
              <w:t>36</w:t>
            </w:r>
          </w:p>
        </w:tc>
        <w:tc>
          <w:tcPr>
            <w:tcW w:w="1006" w:type="dxa"/>
          </w:tcPr>
          <w:p w14:paraId="41160F97" w14:textId="3F75E40B" w:rsidR="00CC7AC1" w:rsidRPr="004E2074" w:rsidRDefault="00CC7AC1" w:rsidP="00CC7AC1">
            <w:pPr>
              <w:jc w:val="right"/>
            </w:pPr>
            <w:r>
              <w:rPr>
                <w:rFonts w:eastAsiaTheme="minorHAnsi"/>
                <w:lang w:eastAsia="en-US"/>
              </w:rPr>
              <w:t>57</w:t>
            </w:r>
          </w:p>
        </w:tc>
      </w:tr>
    </w:tbl>
    <w:p w14:paraId="37A4C6C7" w14:textId="77777777" w:rsidR="00FA554E" w:rsidRPr="004E2074" w:rsidRDefault="00FA554E" w:rsidP="004024CE"/>
    <w:p w14:paraId="476A8A66" w14:textId="77777777" w:rsidR="00FA554E" w:rsidRPr="004E2074" w:rsidRDefault="00FA554E" w:rsidP="0009050D">
      <w:pPr>
        <w:pStyle w:val="Heading3"/>
      </w:pPr>
      <w:r w:rsidRPr="004E2074">
        <w:t>Performance statement</w:t>
      </w:r>
    </w:p>
    <w:p w14:paraId="5D4C372E" w14:textId="1653329D" w:rsidR="00FA554E" w:rsidRDefault="00FA554E" w:rsidP="004024CE">
      <w:r w:rsidRPr="004E2074">
        <w:t>Following are the performance measures used by the Commission to identify workload and operating results.</w:t>
      </w:r>
    </w:p>
    <w:p w14:paraId="10C972D3" w14:textId="3EAF1D2D" w:rsidR="005F4E90" w:rsidRDefault="005F4E90" w:rsidP="004024CE"/>
    <w:p w14:paraId="5EFF2B4D" w14:textId="33DB3834" w:rsidR="00110290" w:rsidRPr="00110290" w:rsidRDefault="00110290" w:rsidP="004024CE">
      <w:pPr>
        <w:rPr>
          <w:rFonts w:ascii="Helvetica" w:hAnsi="Helvetica" w:cs="Helvetica"/>
          <w:b/>
          <w:bCs/>
          <w:sz w:val="17"/>
          <w:szCs w:val="17"/>
        </w:rPr>
      </w:pPr>
      <w:r w:rsidRPr="00110290">
        <w:rPr>
          <w:rFonts w:ascii="Helvetica" w:hAnsi="Helvetica" w:cs="Helvetica"/>
          <w:b/>
          <w:bCs/>
          <w:sz w:val="17"/>
          <w:szCs w:val="17"/>
        </w:rPr>
        <w:t>Table 3: Performance measures 2018-19 and 2019-20</w:t>
      </w:r>
      <w:r w:rsidR="000C26A3">
        <w:rPr>
          <w:rFonts w:ascii="Helvetica" w:hAnsi="Helvetica" w:cs="Helvetica"/>
          <w:b/>
          <w:bCs/>
          <w:sz w:val="17"/>
          <w:szCs w:val="17"/>
        </w:rPr>
        <w:t>.</w:t>
      </w:r>
    </w:p>
    <w:tbl>
      <w:tblPr>
        <w:tblStyle w:val="TableGrid"/>
        <w:tblW w:w="8500" w:type="dxa"/>
        <w:tblLook w:val="04A0" w:firstRow="1" w:lastRow="0" w:firstColumn="1" w:lastColumn="0" w:noHBand="0" w:noVBand="1"/>
      </w:tblPr>
      <w:tblGrid>
        <w:gridCol w:w="5702"/>
        <w:gridCol w:w="1399"/>
        <w:gridCol w:w="1399"/>
      </w:tblGrid>
      <w:tr w:rsidR="00FA554E" w:rsidRPr="004E2074" w14:paraId="4576BC34" w14:textId="77777777" w:rsidTr="00061BEF">
        <w:tc>
          <w:tcPr>
            <w:tcW w:w="5702" w:type="dxa"/>
            <w:shd w:val="clear" w:color="auto" w:fill="808080" w:themeFill="background1" w:themeFillShade="80"/>
          </w:tcPr>
          <w:p w14:paraId="4FEDCE87" w14:textId="77777777" w:rsidR="00FA554E" w:rsidRPr="006B1FFA" w:rsidRDefault="00FA554E" w:rsidP="004024CE">
            <w:pPr>
              <w:rPr>
                <w:rFonts w:eastAsiaTheme="minorHAnsi"/>
                <w:b/>
                <w:bCs/>
                <w:color w:val="FFFFFF" w:themeColor="background1"/>
                <w:lang w:eastAsia="en-US"/>
              </w:rPr>
            </w:pPr>
            <w:r w:rsidRPr="006B1FFA">
              <w:rPr>
                <w:rFonts w:eastAsiaTheme="minorHAnsi"/>
                <w:b/>
                <w:bCs/>
                <w:color w:val="FFFFFF" w:themeColor="background1"/>
                <w:lang w:eastAsia="en-US"/>
              </w:rPr>
              <w:t>Performance measures</w:t>
            </w:r>
          </w:p>
        </w:tc>
        <w:tc>
          <w:tcPr>
            <w:tcW w:w="1399" w:type="dxa"/>
            <w:shd w:val="clear" w:color="auto" w:fill="808080" w:themeFill="background1" w:themeFillShade="80"/>
          </w:tcPr>
          <w:p w14:paraId="711903AE" w14:textId="77777777" w:rsidR="00FA554E" w:rsidRPr="006B1FFA" w:rsidRDefault="00FA554E" w:rsidP="00554C37">
            <w:pPr>
              <w:jc w:val="center"/>
              <w:rPr>
                <w:rFonts w:eastAsiaTheme="minorHAnsi"/>
                <w:b/>
                <w:bCs/>
                <w:color w:val="FFFFFF" w:themeColor="background1"/>
                <w:lang w:eastAsia="en-US"/>
              </w:rPr>
            </w:pPr>
            <w:r w:rsidRPr="006B1FFA">
              <w:rPr>
                <w:rFonts w:eastAsiaTheme="minorHAnsi"/>
                <w:b/>
                <w:bCs/>
                <w:color w:val="FFFFFF" w:themeColor="background1"/>
                <w:lang w:eastAsia="en-US"/>
              </w:rPr>
              <w:t>2018-2019</w:t>
            </w:r>
            <w:r w:rsidRPr="006B1FFA">
              <w:rPr>
                <w:rFonts w:eastAsiaTheme="minorHAnsi"/>
                <w:b/>
                <w:bCs/>
                <w:color w:val="FFFFFF" w:themeColor="background1"/>
                <w:lang w:eastAsia="en-US"/>
              </w:rPr>
              <w:br/>
              <w:t>actual result</w:t>
            </w:r>
          </w:p>
        </w:tc>
        <w:tc>
          <w:tcPr>
            <w:tcW w:w="1399" w:type="dxa"/>
            <w:shd w:val="clear" w:color="auto" w:fill="808080" w:themeFill="background1" w:themeFillShade="80"/>
          </w:tcPr>
          <w:p w14:paraId="67AF26F7" w14:textId="77777777" w:rsidR="00FA554E" w:rsidRPr="006B1FFA" w:rsidRDefault="00FA554E" w:rsidP="00554C37">
            <w:pPr>
              <w:jc w:val="center"/>
              <w:rPr>
                <w:rFonts w:eastAsiaTheme="minorHAnsi"/>
                <w:b/>
                <w:bCs/>
                <w:color w:val="FFFFFF" w:themeColor="background1"/>
                <w:lang w:eastAsia="en-US"/>
              </w:rPr>
            </w:pPr>
            <w:r w:rsidRPr="006B1FFA">
              <w:rPr>
                <w:rFonts w:eastAsiaTheme="minorHAnsi"/>
                <w:b/>
                <w:bCs/>
                <w:color w:val="FFFFFF" w:themeColor="background1"/>
                <w:lang w:eastAsia="en-US"/>
              </w:rPr>
              <w:t>2019-2020</w:t>
            </w:r>
            <w:r w:rsidRPr="006B1FFA">
              <w:rPr>
                <w:rFonts w:eastAsiaTheme="minorHAnsi"/>
                <w:b/>
                <w:bCs/>
                <w:color w:val="FFFFFF" w:themeColor="background1"/>
                <w:lang w:eastAsia="en-US"/>
              </w:rPr>
              <w:br/>
              <w:t>actual result</w:t>
            </w:r>
          </w:p>
        </w:tc>
      </w:tr>
      <w:tr w:rsidR="00FA554E" w:rsidRPr="004E2074" w14:paraId="3FFBC2C2" w14:textId="77777777" w:rsidTr="00885D07">
        <w:tc>
          <w:tcPr>
            <w:tcW w:w="5702" w:type="dxa"/>
          </w:tcPr>
          <w:p w14:paraId="771EF4FF" w14:textId="77777777" w:rsidR="00FA554E" w:rsidRPr="004E2074" w:rsidRDefault="00FA554E" w:rsidP="004024CE">
            <w:pPr>
              <w:rPr>
                <w:rFonts w:eastAsiaTheme="minorHAnsi"/>
                <w:iCs/>
                <w:lang w:eastAsia="en-US"/>
              </w:rPr>
            </w:pPr>
            <w:r w:rsidRPr="004E2074">
              <w:rPr>
                <w:rFonts w:eastAsiaTheme="minorHAnsi"/>
                <w:lang w:eastAsia="en-US"/>
              </w:rPr>
              <w:t>Percentage of conferences conducted independently by Local Commissioners</w:t>
            </w:r>
          </w:p>
        </w:tc>
        <w:tc>
          <w:tcPr>
            <w:tcW w:w="1399" w:type="dxa"/>
          </w:tcPr>
          <w:p w14:paraId="79A9E03B" w14:textId="77777777" w:rsidR="00FA554E" w:rsidRPr="004E2074" w:rsidRDefault="00FA554E" w:rsidP="00554C37">
            <w:pPr>
              <w:jc w:val="center"/>
              <w:rPr>
                <w:rFonts w:eastAsiaTheme="minorHAnsi"/>
                <w:lang w:eastAsia="en-US"/>
              </w:rPr>
            </w:pPr>
            <w:r w:rsidRPr="004E2074">
              <w:rPr>
                <w:rFonts w:eastAsiaTheme="minorHAnsi"/>
                <w:lang w:eastAsia="en-US"/>
              </w:rPr>
              <w:t>96.9%</w:t>
            </w:r>
          </w:p>
        </w:tc>
        <w:tc>
          <w:tcPr>
            <w:tcW w:w="1399" w:type="dxa"/>
          </w:tcPr>
          <w:p w14:paraId="050C328B" w14:textId="77777777" w:rsidR="00FA554E" w:rsidRPr="004E2074" w:rsidRDefault="00FA554E" w:rsidP="00554C37">
            <w:pPr>
              <w:jc w:val="center"/>
              <w:rPr>
                <w:rFonts w:eastAsiaTheme="minorHAnsi"/>
                <w:lang w:eastAsia="en-US"/>
              </w:rPr>
            </w:pPr>
            <w:r w:rsidRPr="004E2074">
              <w:rPr>
                <w:rFonts w:eastAsiaTheme="minorHAnsi"/>
                <w:lang w:eastAsia="en-US"/>
              </w:rPr>
              <w:t>94.3%</w:t>
            </w:r>
          </w:p>
        </w:tc>
      </w:tr>
      <w:tr w:rsidR="00FA554E" w:rsidRPr="004E2074" w14:paraId="01C83CA4" w14:textId="77777777" w:rsidTr="00885D07">
        <w:tc>
          <w:tcPr>
            <w:tcW w:w="5702" w:type="dxa"/>
          </w:tcPr>
          <w:p w14:paraId="386B5229" w14:textId="77777777" w:rsidR="00FA554E" w:rsidRPr="004E2074" w:rsidRDefault="00FA554E" w:rsidP="004024CE">
            <w:pPr>
              <w:rPr>
                <w:rFonts w:eastAsiaTheme="minorHAnsi"/>
                <w:lang w:eastAsia="en-US"/>
              </w:rPr>
            </w:pPr>
            <w:r w:rsidRPr="004E2074">
              <w:rPr>
                <w:rFonts w:eastAsiaTheme="minorHAnsi"/>
                <w:lang w:eastAsia="en-US"/>
              </w:rPr>
              <w:t>Percentage of CIM clients who have had CIM orders revoked or reduced</w:t>
            </w:r>
          </w:p>
        </w:tc>
        <w:tc>
          <w:tcPr>
            <w:tcW w:w="1399" w:type="dxa"/>
          </w:tcPr>
          <w:p w14:paraId="083BC5E4" w14:textId="762F4B80" w:rsidR="00FA554E" w:rsidRPr="004E2074" w:rsidRDefault="00FA554E" w:rsidP="00554C37">
            <w:pPr>
              <w:jc w:val="center"/>
              <w:rPr>
                <w:rFonts w:eastAsiaTheme="minorHAnsi"/>
                <w:lang w:eastAsia="en-US"/>
              </w:rPr>
            </w:pPr>
            <w:r w:rsidRPr="004E2074">
              <w:rPr>
                <w:rFonts w:eastAsiaTheme="minorHAnsi"/>
                <w:lang w:eastAsia="en-US"/>
              </w:rPr>
              <w:t>34.</w:t>
            </w:r>
            <w:r w:rsidR="00EA0079">
              <w:rPr>
                <w:rFonts w:eastAsiaTheme="minorHAnsi"/>
                <w:lang w:eastAsia="en-US"/>
              </w:rPr>
              <w:t>3</w:t>
            </w:r>
            <w:r w:rsidRPr="004E2074">
              <w:rPr>
                <w:rFonts w:eastAsiaTheme="minorHAnsi"/>
                <w:lang w:eastAsia="en-US"/>
              </w:rPr>
              <w:t>%</w:t>
            </w:r>
          </w:p>
        </w:tc>
        <w:tc>
          <w:tcPr>
            <w:tcW w:w="1399" w:type="dxa"/>
          </w:tcPr>
          <w:p w14:paraId="78236AE1" w14:textId="77777777" w:rsidR="00FA554E" w:rsidRPr="004E2074" w:rsidRDefault="00FA554E" w:rsidP="00554C37">
            <w:pPr>
              <w:jc w:val="center"/>
              <w:rPr>
                <w:rFonts w:eastAsiaTheme="minorHAnsi"/>
                <w:lang w:eastAsia="en-US"/>
              </w:rPr>
            </w:pPr>
            <w:r w:rsidRPr="004E2074">
              <w:rPr>
                <w:rFonts w:eastAsiaTheme="minorHAnsi"/>
                <w:lang w:eastAsia="en-US"/>
              </w:rPr>
              <w:t>28.3%</w:t>
            </w:r>
          </w:p>
        </w:tc>
      </w:tr>
      <w:tr w:rsidR="00FA554E" w:rsidRPr="004E2074" w14:paraId="681B851B" w14:textId="77777777" w:rsidTr="00885D07">
        <w:tc>
          <w:tcPr>
            <w:tcW w:w="5702" w:type="dxa"/>
          </w:tcPr>
          <w:p w14:paraId="79CB1FA3" w14:textId="77777777" w:rsidR="00FA554E" w:rsidRPr="004E2074" w:rsidRDefault="00FA554E" w:rsidP="004024CE">
            <w:pPr>
              <w:rPr>
                <w:rFonts w:eastAsiaTheme="minorHAnsi"/>
                <w:lang w:eastAsia="en-US"/>
              </w:rPr>
            </w:pPr>
            <w:r w:rsidRPr="004E2074">
              <w:rPr>
                <w:rFonts w:eastAsiaTheme="minorHAnsi"/>
                <w:lang w:eastAsia="en-US"/>
              </w:rPr>
              <w:t>Percentage of conferences attended</w:t>
            </w:r>
          </w:p>
        </w:tc>
        <w:tc>
          <w:tcPr>
            <w:tcW w:w="1399" w:type="dxa"/>
          </w:tcPr>
          <w:p w14:paraId="0089BC0A" w14:textId="77777777" w:rsidR="00FA554E" w:rsidRPr="004E2074" w:rsidRDefault="00FA554E" w:rsidP="00554C37">
            <w:pPr>
              <w:jc w:val="center"/>
              <w:rPr>
                <w:rFonts w:eastAsiaTheme="minorHAnsi"/>
                <w:lang w:eastAsia="en-US"/>
              </w:rPr>
            </w:pPr>
            <w:r w:rsidRPr="004E2074">
              <w:rPr>
                <w:rFonts w:eastAsiaTheme="minorHAnsi"/>
                <w:lang w:eastAsia="en-US"/>
              </w:rPr>
              <w:t>60.6%</w:t>
            </w:r>
          </w:p>
        </w:tc>
        <w:tc>
          <w:tcPr>
            <w:tcW w:w="1399" w:type="dxa"/>
          </w:tcPr>
          <w:p w14:paraId="3EFF6D93" w14:textId="77777777" w:rsidR="00FA554E" w:rsidRPr="004E2074" w:rsidRDefault="00FA554E" w:rsidP="00554C37">
            <w:pPr>
              <w:jc w:val="center"/>
              <w:rPr>
                <w:rFonts w:eastAsiaTheme="minorHAnsi"/>
                <w:lang w:eastAsia="en-US"/>
              </w:rPr>
            </w:pPr>
            <w:r w:rsidRPr="004E2074">
              <w:rPr>
                <w:rFonts w:eastAsiaTheme="minorHAnsi"/>
                <w:lang w:eastAsia="en-US"/>
              </w:rPr>
              <w:t>59.2%</w:t>
            </w:r>
          </w:p>
        </w:tc>
      </w:tr>
    </w:tbl>
    <w:p w14:paraId="02CE46E9" w14:textId="77777777" w:rsidR="00FA554E" w:rsidRDefault="00FA554E" w:rsidP="004024CE"/>
    <w:p w14:paraId="3E8313EA" w14:textId="570979E7" w:rsidR="00FA554E" w:rsidRPr="004E2074" w:rsidRDefault="00FA554E" w:rsidP="004024CE">
      <w:r w:rsidRPr="004E2074">
        <w:t xml:space="preserve">Performance measures were generally maintained despite the COVID-19 impact during the reporting period. The variance in conferences conducted independently is largely due to </w:t>
      </w:r>
      <w:r w:rsidRPr="004E2074">
        <w:lastRenderedPageBreak/>
        <w:t>Commission</w:t>
      </w:r>
      <w:r w:rsidR="003F1B30">
        <w:t>er</w:t>
      </w:r>
      <w:r w:rsidRPr="004E2074">
        <w:t xml:space="preserve"> Williams sitting in conference to assist Local Commissioners in performing their functions under new practice directions and amended guidelines for conferencing. Commissioner Williams was also required to sit as the FRC Commissioner with two Aurukun Commissioners residing in Cairns to conference displaced Aurukun community members in both Cairns and Coen.</w:t>
      </w:r>
    </w:p>
    <w:p w14:paraId="459FC57C" w14:textId="77777777" w:rsidR="00FA554E" w:rsidRPr="004E2074" w:rsidRDefault="00FA554E" w:rsidP="004024CE">
      <w:r w:rsidRPr="004E2074">
        <w:t>Although the Commission offered telephone conferencing to community members during the pandemic, a slight drop in conference attendance was still experienced.</w:t>
      </w:r>
    </w:p>
    <w:p w14:paraId="37975E85" w14:textId="77777777" w:rsidR="0099613B" w:rsidRDefault="0099613B" w:rsidP="00901E4A"/>
    <w:p w14:paraId="3C34BD97" w14:textId="1C099B4B" w:rsidR="00FA554E" w:rsidRPr="004E2074" w:rsidRDefault="00FA554E" w:rsidP="0009050D">
      <w:pPr>
        <w:pStyle w:val="Heading3"/>
      </w:pPr>
      <w:r w:rsidRPr="004E2074">
        <w:t>Notices within jurisdiction</w:t>
      </w:r>
    </w:p>
    <w:p w14:paraId="60E7964B" w14:textId="1794090A" w:rsidR="00597ABF" w:rsidRDefault="00FA554E" w:rsidP="004024CE">
      <w:pPr>
        <w:rPr>
          <w:lang w:val="en-US"/>
        </w:rPr>
      </w:pPr>
      <w:r w:rsidRPr="004E2074">
        <w:rPr>
          <w:lang w:val="en-US"/>
        </w:rPr>
        <w:t>From 1 July 2019 to 30 June 2020, the Commission received a total of 7,348 agency notices of which 4,941 relating to 1,217 clients were in jurisdiction, comprising:</w:t>
      </w:r>
    </w:p>
    <w:p w14:paraId="252B8081" w14:textId="77777777" w:rsidR="00F56D44" w:rsidRPr="004E2074" w:rsidRDefault="00F56D44" w:rsidP="004024CE">
      <w:pPr>
        <w:rPr>
          <w:lang w:val="en-US"/>
        </w:rPr>
      </w:pPr>
    </w:p>
    <w:p w14:paraId="73B64E38" w14:textId="09908B84" w:rsidR="00FA554E" w:rsidRPr="0009050D" w:rsidRDefault="00FA554E" w:rsidP="004024CE">
      <w:pPr>
        <w:rPr>
          <w:rFonts w:ascii="Helvetica" w:hAnsi="Helvetica" w:cs="Helvetica"/>
          <w:b/>
          <w:bCs/>
          <w:sz w:val="17"/>
          <w:szCs w:val="17"/>
        </w:rPr>
      </w:pPr>
      <w:bookmarkStart w:id="2" w:name="_Hlk13213432"/>
      <w:r w:rsidRPr="0009050D">
        <w:rPr>
          <w:rFonts w:ascii="Helvetica" w:hAnsi="Helvetica" w:cs="Helvetica"/>
          <w:b/>
          <w:bCs/>
          <w:sz w:val="17"/>
          <w:szCs w:val="17"/>
        </w:rPr>
        <w:t xml:space="preserve">Table </w:t>
      </w:r>
      <w:r w:rsidR="00110290">
        <w:rPr>
          <w:rFonts w:ascii="Helvetica" w:hAnsi="Helvetica" w:cs="Helvetica"/>
          <w:b/>
          <w:bCs/>
          <w:sz w:val="17"/>
          <w:szCs w:val="17"/>
        </w:rPr>
        <w:t>4</w:t>
      </w:r>
      <w:r w:rsidRPr="0009050D">
        <w:rPr>
          <w:rFonts w:ascii="Helvetica" w:hAnsi="Helvetica" w:cs="Helvetica"/>
          <w:b/>
          <w:bCs/>
          <w:sz w:val="17"/>
          <w:szCs w:val="17"/>
        </w:rPr>
        <w:t>: In jurisdiction notices by type and community 1 July 2019 to 30 June 2020.</w:t>
      </w:r>
    </w:p>
    <w:tbl>
      <w:tblPr>
        <w:tblW w:w="8222" w:type="dxa"/>
        <w:tblInd w:w="108" w:type="dxa"/>
        <w:tblLayout w:type="fixed"/>
        <w:tblLook w:val="04A0" w:firstRow="1" w:lastRow="0" w:firstColumn="1" w:lastColumn="0" w:noHBand="0" w:noVBand="1"/>
      </w:tblPr>
      <w:tblGrid>
        <w:gridCol w:w="2647"/>
        <w:gridCol w:w="930"/>
        <w:gridCol w:w="929"/>
        <w:gridCol w:w="929"/>
        <w:gridCol w:w="929"/>
        <w:gridCol w:w="929"/>
        <w:gridCol w:w="929"/>
      </w:tblGrid>
      <w:tr w:rsidR="00FA554E" w:rsidRPr="004E2074" w14:paraId="19B260BD" w14:textId="77777777" w:rsidTr="00061BEF">
        <w:trPr>
          <w:trHeight w:val="284"/>
        </w:trPr>
        <w:tc>
          <w:tcPr>
            <w:tcW w:w="2647"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vAlign w:val="center"/>
            <w:hideMark/>
          </w:tcPr>
          <w:p w14:paraId="33E3BD9F" w14:textId="72375AB4" w:rsidR="00FA554E" w:rsidRPr="007519D3" w:rsidRDefault="00FA554E" w:rsidP="004024CE">
            <w:pPr>
              <w:rPr>
                <w:b/>
                <w:bCs/>
                <w:color w:val="FFFFFF" w:themeColor="background1"/>
              </w:rPr>
            </w:pPr>
            <w:bookmarkStart w:id="3" w:name="_Hlk13216885"/>
            <w:r w:rsidRPr="007519D3">
              <w:rPr>
                <w:b/>
                <w:bCs/>
                <w:color w:val="FFFFFF" w:themeColor="background1"/>
              </w:rPr>
              <w:t xml:space="preserve">Type of </w:t>
            </w:r>
            <w:r w:rsidR="00A5110C">
              <w:rPr>
                <w:b/>
                <w:bCs/>
                <w:color w:val="FFFFFF" w:themeColor="background1"/>
              </w:rPr>
              <w:t>n</w:t>
            </w:r>
            <w:r w:rsidRPr="007519D3">
              <w:rPr>
                <w:b/>
                <w:bCs/>
                <w:color w:val="FFFFFF" w:themeColor="background1"/>
              </w:rPr>
              <w:t>otice</w:t>
            </w:r>
          </w:p>
        </w:tc>
        <w:tc>
          <w:tcPr>
            <w:tcW w:w="930"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42EE393B" w14:textId="77777777" w:rsidR="00FA554E" w:rsidRPr="007519D3" w:rsidRDefault="00FA554E" w:rsidP="00554C37">
            <w:pPr>
              <w:jc w:val="right"/>
              <w:rPr>
                <w:b/>
                <w:bCs/>
                <w:color w:val="FFFFFF" w:themeColor="background1"/>
              </w:rPr>
            </w:pPr>
            <w:r w:rsidRPr="007519D3">
              <w:rPr>
                <w:b/>
                <w:bCs/>
                <w:color w:val="FFFFFF" w:themeColor="background1"/>
              </w:rPr>
              <w:t>AU</w:t>
            </w:r>
          </w:p>
        </w:tc>
        <w:tc>
          <w:tcPr>
            <w:tcW w:w="92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48165650" w14:textId="77777777" w:rsidR="00FA554E" w:rsidRPr="007519D3" w:rsidRDefault="00FA554E" w:rsidP="00554C37">
            <w:pPr>
              <w:jc w:val="right"/>
              <w:rPr>
                <w:b/>
                <w:bCs/>
                <w:color w:val="FFFFFF" w:themeColor="background1"/>
              </w:rPr>
            </w:pPr>
            <w:r w:rsidRPr="007519D3">
              <w:rPr>
                <w:b/>
                <w:bCs/>
                <w:color w:val="FFFFFF" w:themeColor="background1"/>
              </w:rPr>
              <w:t>CO</w:t>
            </w:r>
          </w:p>
        </w:tc>
        <w:tc>
          <w:tcPr>
            <w:tcW w:w="92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BFA18A7" w14:textId="5C790409" w:rsidR="00FA554E" w:rsidRPr="007519D3" w:rsidRDefault="00FA554E" w:rsidP="00554C37">
            <w:pPr>
              <w:jc w:val="right"/>
              <w:rPr>
                <w:b/>
                <w:bCs/>
                <w:color w:val="FFFFFF" w:themeColor="background1"/>
              </w:rPr>
            </w:pPr>
            <w:r w:rsidRPr="007519D3">
              <w:rPr>
                <w:b/>
                <w:bCs/>
                <w:color w:val="FFFFFF" w:themeColor="background1"/>
              </w:rPr>
              <w:t>DM</w:t>
            </w:r>
            <w:r w:rsidR="0009050D" w:rsidRPr="007519D3">
              <w:rPr>
                <w:rStyle w:val="FootnoteReference"/>
                <w:b/>
                <w:bCs/>
                <w:color w:val="FFFFFF" w:themeColor="background1"/>
              </w:rPr>
              <w:footnoteReference w:id="8"/>
            </w:r>
          </w:p>
        </w:tc>
        <w:tc>
          <w:tcPr>
            <w:tcW w:w="92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64906D1F" w14:textId="77777777" w:rsidR="00FA554E" w:rsidRPr="007519D3" w:rsidRDefault="00FA554E" w:rsidP="00554C37">
            <w:pPr>
              <w:jc w:val="right"/>
              <w:rPr>
                <w:b/>
                <w:bCs/>
                <w:color w:val="FFFFFF" w:themeColor="background1"/>
              </w:rPr>
            </w:pPr>
            <w:r w:rsidRPr="007519D3">
              <w:rPr>
                <w:b/>
                <w:bCs/>
                <w:color w:val="FFFFFF" w:themeColor="background1"/>
              </w:rPr>
              <w:t>HV</w:t>
            </w:r>
          </w:p>
        </w:tc>
        <w:tc>
          <w:tcPr>
            <w:tcW w:w="92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13B72FC8" w14:textId="77777777" w:rsidR="00FA554E" w:rsidRPr="007519D3" w:rsidRDefault="00FA554E" w:rsidP="00554C37">
            <w:pPr>
              <w:jc w:val="right"/>
              <w:rPr>
                <w:b/>
                <w:bCs/>
                <w:color w:val="FFFFFF" w:themeColor="background1"/>
              </w:rPr>
            </w:pPr>
            <w:r w:rsidRPr="007519D3">
              <w:rPr>
                <w:b/>
                <w:bCs/>
                <w:color w:val="FFFFFF" w:themeColor="background1"/>
              </w:rPr>
              <w:t>MG</w:t>
            </w:r>
          </w:p>
        </w:tc>
        <w:tc>
          <w:tcPr>
            <w:tcW w:w="929" w:type="dxa"/>
            <w:tcBorders>
              <w:top w:val="single" w:sz="4" w:space="0" w:color="auto"/>
              <w:left w:val="nil"/>
              <w:bottom w:val="single" w:sz="4" w:space="0" w:color="auto"/>
              <w:right w:val="single" w:sz="4" w:space="0" w:color="auto"/>
            </w:tcBorders>
            <w:shd w:val="clear" w:color="auto" w:fill="808080" w:themeFill="background1" w:themeFillShade="80"/>
            <w:vAlign w:val="center"/>
            <w:hideMark/>
          </w:tcPr>
          <w:p w14:paraId="75B0C63F" w14:textId="77777777" w:rsidR="00FA554E" w:rsidRPr="007519D3" w:rsidRDefault="00FA554E" w:rsidP="00554C37">
            <w:pPr>
              <w:jc w:val="right"/>
              <w:rPr>
                <w:b/>
                <w:bCs/>
                <w:color w:val="FFFFFF" w:themeColor="background1"/>
              </w:rPr>
            </w:pPr>
            <w:r w:rsidRPr="007519D3">
              <w:rPr>
                <w:b/>
                <w:bCs/>
                <w:color w:val="FFFFFF" w:themeColor="background1"/>
              </w:rPr>
              <w:t>Total</w:t>
            </w:r>
          </w:p>
        </w:tc>
      </w:tr>
      <w:tr w:rsidR="00FA554E" w:rsidRPr="004E2074" w14:paraId="527E665D" w14:textId="77777777" w:rsidTr="00885D07">
        <w:trPr>
          <w:trHeight w:val="284"/>
        </w:trPr>
        <w:tc>
          <w:tcPr>
            <w:tcW w:w="26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60441" w14:textId="77777777" w:rsidR="00FA554E" w:rsidRPr="004E2074" w:rsidRDefault="00FA554E" w:rsidP="004024CE">
            <w:r w:rsidRPr="004E2074">
              <w:t>Supreme Court</w:t>
            </w:r>
          </w:p>
        </w:tc>
        <w:tc>
          <w:tcPr>
            <w:tcW w:w="930" w:type="dxa"/>
            <w:tcBorders>
              <w:top w:val="single" w:sz="4" w:space="0" w:color="auto"/>
              <w:left w:val="nil"/>
              <w:bottom w:val="single" w:sz="4" w:space="0" w:color="auto"/>
              <w:right w:val="single" w:sz="4" w:space="0" w:color="auto"/>
            </w:tcBorders>
            <w:shd w:val="clear" w:color="auto" w:fill="auto"/>
          </w:tcPr>
          <w:p w14:paraId="124E2A67" w14:textId="77777777" w:rsidR="00FA554E" w:rsidRPr="004E2074" w:rsidRDefault="00FA554E" w:rsidP="009B6C9F">
            <w:pPr>
              <w:jc w:val="right"/>
            </w:pPr>
            <w:r w:rsidRPr="004E2074">
              <w:t>0</w:t>
            </w:r>
          </w:p>
        </w:tc>
        <w:tc>
          <w:tcPr>
            <w:tcW w:w="929" w:type="dxa"/>
            <w:tcBorders>
              <w:top w:val="single" w:sz="4" w:space="0" w:color="auto"/>
              <w:left w:val="nil"/>
              <w:bottom w:val="single" w:sz="4" w:space="0" w:color="auto"/>
              <w:right w:val="single" w:sz="4" w:space="0" w:color="auto"/>
            </w:tcBorders>
            <w:shd w:val="clear" w:color="auto" w:fill="auto"/>
          </w:tcPr>
          <w:p w14:paraId="5BBD5D66" w14:textId="77777777" w:rsidR="00FA554E" w:rsidRPr="004E2074" w:rsidRDefault="00FA554E" w:rsidP="009B6C9F">
            <w:pPr>
              <w:jc w:val="right"/>
            </w:pPr>
            <w:r w:rsidRPr="004E2074">
              <w:t>0</w:t>
            </w:r>
          </w:p>
        </w:tc>
        <w:tc>
          <w:tcPr>
            <w:tcW w:w="929" w:type="dxa"/>
            <w:tcBorders>
              <w:top w:val="single" w:sz="4" w:space="0" w:color="auto"/>
              <w:left w:val="nil"/>
              <w:bottom w:val="single" w:sz="4" w:space="0" w:color="auto"/>
              <w:right w:val="single" w:sz="4" w:space="0" w:color="auto"/>
            </w:tcBorders>
            <w:shd w:val="clear" w:color="auto" w:fill="auto"/>
          </w:tcPr>
          <w:p w14:paraId="0AB503CD" w14:textId="52A79000" w:rsidR="00FA554E" w:rsidRPr="004E2074" w:rsidRDefault="000C26A3" w:rsidP="009B6C9F">
            <w:pPr>
              <w:jc w:val="right"/>
            </w:pPr>
            <w:r>
              <w:t>-</w:t>
            </w:r>
          </w:p>
        </w:tc>
        <w:tc>
          <w:tcPr>
            <w:tcW w:w="929" w:type="dxa"/>
            <w:tcBorders>
              <w:top w:val="single" w:sz="4" w:space="0" w:color="auto"/>
              <w:left w:val="nil"/>
              <w:bottom w:val="single" w:sz="4" w:space="0" w:color="auto"/>
              <w:right w:val="single" w:sz="4" w:space="0" w:color="auto"/>
            </w:tcBorders>
            <w:shd w:val="clear" w:color="auto" w:fill="auto"/>
          </w:tcPr>
          <w:p w14:paraId="5D5F789B" w14:textId="77777777" w:rsidR="00FA554E" w:rsidRPr="004E2074" w:rsidRDefault="00FA554E" w:rsidP="009B6C9F">
            <w:pPr>
              <w:jc w:val="right"/>
            </w:pPr>
            <w:r w:rsidRPr="004E2074">
              <w:t>0</w:t>
            </w:r>
          </w:p>
        </w:tc>
        <w:tc>
          <w:tcPr>
            <w:tcW w:w="929" w:type="dxa"/>
            <w:tcBorders>
              <w:top w:val="single" w:sz="4" w:space="0" w:color="auto"/>
              <w:left w:val="nil"/>
              <w:bottom w:val="single" w:sz="4" w:space="0" w:color="auto"/>
              <w:right w:val="single" w:sz="4" w:space="0" w:color="auto"/>
            </w:tcBorders>
            <w:shd w:val="clear" w:color="auto" w:fill="auto"/>
          </w:tcPr>
          <w:p w14:paraId="32A2C7CC" w14:textId="77777777" w:rsidR="00FA554E" w:rsidRPr="004E2074" w:rsidRDefault="00FA554E" w:rsidP="009B6C9F">
            <w:pPr>
              <w:jc w:val="right"/>
            </w:pPr>
            <w:r w:rsidRPr="004E2074">
              <w:t>0</w:t>
            </w:r>
          </w:p>
        </w:tc>
        <w:tc>
          <w:tcPr>
            <w:tcW w:w="929" w:type="dxa"/>
            <w:tcBorders>
              <w:top w:val="single" w:sz="4" w:space="0" w:color="auto"/>
              <w:left w:val="nil"/>
              <w:bottom w:val="single" w:sz="4" w:space="0" w:color="auto"/>
              <w:right w:val="single" w:sz="4" w:space="0" w:color="auto"/>
            </w:tcBorders>
            <w:shd w:val="clear" w:color="auto" w:fill="auto"/>
          </w:tcPr>
          <w:p w14:paraId="29D7AFC2" w14:textId="77777777" w:rsidR="00FA554E" w:rsidRPr="009B6C9F" w:rsidRDefault="00FA554E" w:rsidP="009B6C9F">
            <w:pPr>
              <w:jc w:val="right"/>
              <w:rPr>
                <w:b/>
                <w:bCs/>
              </w:rPr>
            </w:pPr>
            <w:r w:rsidRPr="009B6C9F">
              <w:rPr>
                <w:b/>
                <w:bCs/>
              </w:rPr>
              <w:t>0</w:t>
            </w:r>
          </w:p>
        </w:tc>
      </w:tr>
      <w:tr w:rsidR="00FA554E" w:rsidRPr="004E2074" w14:paraId="6C5743B0"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5629E329" w14:textId="77777777" w:rsidR="00FA554E" w:rsidRPr="004E2074" w:rsidRDefault="00FA554E" w:rsidP="004024CE">
            <w:r w:rsidRPr="004E2074">
              <w:t>District Court</w:t>
            </w:r>
          </w:p>
        </w:tc>
        <w:tc>
          <w:tcPr>
            <w:tcW w:w="930" w:type="dxa"/>
            <w:tcBorders>
              <w:top w:val="nil"/>
              <w:left w:val="nil"/>
              <w:bottom w:val="single" w:sz="4" w:space="0" w:color="auto"/>
              <w:right w:val="single" w:sz="4" w:space="0" w:color="auto"/>
            </w:tcBorders>
            <w:shd w:val="clear" w:color="auto" w:fill="auto"/>
          </w:tcPr>
          <w:p w14:paraId="1FFC92E2" w14:textId="77777777" w:rsidR="00FA554E" w:rsidRPr="004E2074" w:rsidRDefault="00FA554E" w:rsidP="009B6C9F">
            <w:pPr>
              <w:jc w:val="right"/>
              <w:rPr>
                <w:bCs/>
              </w:rPr>
            </w:pPr>
            <w:r w:rsidRPr="004E2074">
              <w:t>39</w:t>
            </w:r>
          </w:p>
        </w:tc>
        <w:tc>
          <w:tcPr>
            <w:tcW w:w="929" w:type="dxa"/>
            <w:tcBorders>
              <w:top w:val="nil"/>
              <w:left w:val="nil"/>
              <w:bottom w:val="single" w:sz="4" w:space="0" w:color="auto"/>
              <w:right w:val="single" w:sz="4" w:space="0" w:color="auto"/>
            </w:tcBorders>
            <w:shd w:val="clear" w:color="auto" w:fill="auto"/>
          </w:tcPr>
          <w:p w14:paraId="379BACA9" w14:textId="77777777" w:rsidR="00FA554E" w:rsidRPr="004E2074" w:rsidRDefault="00FA554E" w:rsidP="009B6C9F">
            <w:pPr>
              <w:jc w:val="right"/>
            </w:pPr>
            <w:r w:rsidRPr="004E2074">
              <w:t>0</w:t>
            </w:r>
          </w:p>
        </w:tc>
        <w:tc>
          <w:tcPr>
            <w:tcW w:w="929" w:type="dxa"/>
            <w:tcBorders>
              <w:top w:val="nil"/>
              <w:left w:val="nil"/>
              <w:bottom w:val="single" w:sz="4" w:space="0" w:color="auto"/>
              <w:right w:val="single" w:sz="4" w:space="0" w:color="auto"/>
            </w:tcBorders>
            <w:shd w:val="clear" w:color="auto" w:fill="auto"/>
          </w:tcPr>
          <w:p w14:paraId="6A3BB0F3" w14:textId="014C427F" w:rsidR="00FA554E" w:rsidRPr="004E2074" w:rsidRDefault="000C26A3" w:rsidP="009B6C9F">
            <w:pPr>
              <w:jc w:val="right"/>
            </w:pPr>
            <w:r>
              <w:t>-</w:t>
            </w:r>
          </w:p>
        </w:tc>
        <w:tc>
          <w:tcPr>
            <w:tcW w:w="929" w:type="dxa"/>
            <w:tcBorders>
              <w:top w:val="nil"/>
              <w:left w:val="nil"/>
              <w:bottom w:val="single" w:sz="4" w:space="0" w:color="auto"/>
              <w:right w:val="single" w:sz="4" w:space="0" w:color="auto"/>
            </w:tcBorders>
            <w:shd w:val="clear" w:color="auto" w:fill="auto"/>
          </w:tcPr>
          <w:p w14:paraId="0F004727" w14:textId="77777777" w:rsidR="00FA554E" w:rsidRPr="004E2074" w:rsidRDefault="00FA554E" w:rsidP="009B6C9F">
            <w:pPr>
              <w:jc w:val="right"/>
            </w:pPr>
            <w:r w:rsidRPr="004E2074">
              <w:t>8</w:t>
            </w:r>
          </w:p>
        </w:tc>
        <w:tc>
          <w:tcPr>
            <w:tcW w:w="929" w:type="dxa"/>
            <w:tcBorders>
              <w:top w:val="nil"/>
              <w:left w:val="nil"/>
              <w:bottom w:val="single" w:sz="4" w:space="0" w:color="auto"/>
              <w:right w:val="single" w:sz="4" w:space="0" w:color="auto"/>
            </w:tcBorders>
            <w:shd w:val="clear" w:color="auto" w:fill="auto"/>
          </w:tcPr>
          <w:p w14:paraId="18B653B9" w14:textId="77777777" w:rsidR="00FA554E" w:rsidRPr="004E2074" w:rsidRDefault="00FA554E" w:rsidP="009B6C9F">
            <w:pPr>
              <w:jc w:val="right"/>
            </w:pPr>
            <w:r w:rsidRPr="004E2074">
              <w:t>0</w:t>
            </w:r>
          </w:p>
        </w:tc>
        <w:tc>
          <w:tcPr>
            <w:tcW w:w="929" w:type="dxa"/>
            <w:tcBorders>
              <w:top w:val="nil"/>
              <w:left w:val="nil"/>
              <w:bottom w:val="single" w:sz="4" w:space="0" w:color="auto"/>
              <w:right w:val="single" w:sz="4" w:space="0" w:color="auto"/>
            </w:tcBorders>
            <w:shd w:val="clear" w:color="auto" w:fill="auto"/>
          </w:tcPr>
          <w:p w14:paraId="25B6AEA9" w14:textId="77777777" w:rsidR="00FA554E" w:rsidRPr="009B6C9F" w:rsidRDefault="00FA554E" w:rsidP="009B6C9F">
            <w:pPr>
              <w:jc w:val="right"/>
              <w:rPr>
                <w:b/>
                <w:bCs/>
              </w:rPr>
            </w:pPr>
            <w:r w:rsidRPr="009B6C9F">
              <w:rPr>
                <w:b/>
                <w:bCs/>
              </w:rPr>
              <w:t>47</w:t>
            </w:r>
          </w:p>
        </w:tc>
      </w:tr>
      <w:tr w:rsidR="00FA554E" w:rsidRPr="004E2074" w14:paraId="434BE755"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6ACC9CEA" w14:textId="77777777" w:rsidR="00FA554E" w:rsidRPr="004E2074" w:rsidRDefault="00FA554E" w:rsidP="004024CE">
            <w:r w:rsidRPr="004E2074">
              <w:t>Magistrates Court</w:t>
            </w:r>
          </w:p>
        </w:tc>
        <w:tc>
          <w:tcPr>
            <w:tcW w:w="930" w:type="dxa"/>
            <w:tcBorders>
              <w:top w:val="nil"/>
              <w:left w:val="nil"/>
              <w:bottom w:val="single" w:sz="4" w:space="0" w:color="auto"/>
              <w:right w:val="single" w:sz="4" w:space="0" w:color="auto"/>
            </w:tcBorders>
            <w:shd w:val="clear" w:color="auto" w:fill="auto"/>
          </w:tcPr>
          <w:p w14:paraId="46AC9F17" w14:textId="77777777" w:rsidR="00FA554E" w:rsidRPr="004E2074" w:rsidRDefault="00FA554E" w:rsidP="009B6C9F">
            <w:pPr>
              <w:jc w:val="right"/>
              <w:rPr>
                <w:bCs/>
              </w:rPr>
            </w:pPr>
            <w:r w:rsidRPr="004E2074">
              <w:t>532</w:t>
            </w:r>
          </w:p>
        </w:tc>
        <w:tc>
          <w:tcPr>
            <w:tcW w:w="929" w:type="dxa"/>
            <w:tcBorders>
              <w:top w:val="nil"/>
              <w:left w:val="nil"/>
              <w:bottom w:val="single" w:sz="4" w:space="0" w:color="auto"/>
              <w:right w:val="single" w:sz="4" w:space="0" w:color="auto"/>
            </w:tcBorders>
            <w:shd w:val="clear" w:color="auto" w:fill="auto"/>
          </w:tcPr>
          <w:p w14:paraId="6760065A" w14:textId="77777777" w:rsidR="00FA554E" w:rsidRPr="004E2074" w:rsidRDefault="00FA554E" w:rsidP="009B6C9F">
            <w:pPr>
              <w:jc w:val="right"/>
              <w:rPr>
                <w:bCs/>
              </w:rPr>
            </w:pPr>
            <w:r w:rsidRPr="004E2074">
              <w:t>31</w:t>
            </w:r>
          </w:p>
        </w:tc>
        <w:tc>
          <w:tcPr>
            <w:tcW w:w="929" w:type="dxa"/>
            <w:tcBorders>
              <w:top w:val="nil"/>
              <w:left w:val="nil"/>
              <w:bottom w:val="single" w:sz="4" w:space="0" w:color="auto"/>
              <w:right w:val="single" w:sz="4" w:space="0" w:color="auto"/>
            </w:tcBorders>
            <w:shd w:val="clear" w:color="auto" w:fill="auto"/>
          </w:tcPr>
          <w:p w14:paraId="69E09218" w14:textId="659FA43A" w:rsidR="00FA554E" w:rsidRPr="004E2074" w:rsidRDefault="000C26A3" w:rsidP="009B6C9F">
            <w:pPr>
              <w:jc w:val="right"/>
            </w:pPr>
            <w:r>
              <w:t>-</w:t>
            </w:r>
          </w:p>
        </w:tc>
        <w:tc>
          <w:tcPr>
            <w:tcW w:w="929" w:type="dxa"/>
            <w:tcBorders>
              <w:top w:val="nil"/>
              <w:left w:val="nil"/>
              <w:bottom w:val="single" w:sz="4" w:space="0" w:color="auto"/>
              <w:right w:val="single" w:sz="4" w:space="0" w:color="auto"/>
            </w:tcBorders>
            <w:shd w:val="clear" w:color="auto" w:fill="auto"/>
          </w:tcPr>
          <w:p w14:paraId="67519608" w14:textId="77777777" w:rsidR="00FA554E" w:rsidRPr="004E2074" w:rsidRDefault="00FA554E" w:rsidP="009B6C9F">
            <w:pPr>
              <w:jc w:val="right"/>
              <w:rPr>
                <w:bCs/>
              </w:rPr>
            </w:pPr>
            <w:r w:rsidRPr="004E2074">
              <w:t>224</w:t>
            </w:r>
          </w:p>
        </w:tc>
        <w:tc>
          <w:tcPr>
            <w:tcW w:w="929" w:type="dxa"/>
            <w:tcBorders>
              <w:top w:val="nil"/>
              <w:left w:val="nil"/>
              <w:bottom w:val="single" w:sz="4" w:space="0" w:color="auto"/>
              <w:right w:val="single" w:sz="4" w:space="0" w:color="auto"/>
            </w:tcBorders>
            <w:shd w:val="clear" w:color="auto" w:fill="auto"/>
          </w:tcPr>
          <w:p w14:paraId="3FF59FA7" w14:textId="77777777" w:rsidR="00FA554E" w:rsidRPr="004E2074" w:rsidRDefault="00FA554E" w:rsidP="009B6C9F">
            <w:pPr>
              <w:jc w:val="right"/>
              <w:rPr>
                <w:bCs/>
              </w:rPr>
            </w:pPr>
            <w:r w:rsidRPr="004E2074">
              <w:t>110</w:t>
            </w:r>
          </w:p>
        </w:tc>
        <w:tc>
          <w:tcPr>
            <w:tcW w:w="929" w:type="dxa"/>
            <w:tcBorders>
              <w:top w:val="nil"/>
              <w:left w:val="nil"/>
              <w:bottom w:val="single" w:sz="4" w:space="0" w:color="auto"/>
              <w:right w:val="single" w:sz="4" w:space="0" w:color="auto"/>
            </w:tcBorders>
            <w:shd w:val="clear" w:color="auto" w:fill="auto"/>
          </w:tcPr>
          <w:p w14:paraId="4CFA8EFA" w14:textId="77777777" w:rsidR="00FA554E" w:rsidRPr="009B6C9F" w:rsidRDefault="00FA554E" w:rsidP="009B6C9F">
            <w:pPr>
              <w:jc w:val="right"/>
              <w:rPr>
                <w:b/>
                <w:bCs/>
              </w:rPr>
            </w:pPr>
            <w:r w:rsidRPr="009B6C9F">
              <w:rPr>
                <w:b/>
                <w:bCs/>
              </w:rPr>
              <w:t>897</w:t>
            </w:r>
          </w:p>
        </w:tc>
      </w:tr>
      <w:tr w:rsidR="00FA554E" w:rsidRPr="004E2074" w14:paraId="550B5842"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51F691E7" w14:textId="77777777" w:rsidR="00FA554E" w:rsidRPr="004E2074" w:rsidRDefault="00FA554E" w:rsidP="004024CE">
            <w:r w:rsidRPr="004E2074">
              <w:t>Domestic Violence Breach</w:t>
            </w:r>
          </w:p>
        </w:tc>
        <w:tc>
          <w:tcPr>
            <w:tcW w:w="930" w:type="dxa"/>
            <w:tcBorders>
              <w:top w:val="nil"/>
              <w:left w:val="nil"/>
              <w:bottom w:val="single" w:sz="4" w:space="0" w:color="auto"/>
              <w:right w:val="single" w:sz="4" w:space="0" w:color="auto"/>
            </w:tcBorders>
            <w:shd w:val="clear" w:color="auto" w:fill="auto"/>
          </w:tcPr>
          <w:p w14:paraId="7B482594" w14:textId="77777777" w:rsidR="00FA554E" w:rsidRPr="004E2074" w:rsidRDefault="00FA554E" w:rsidP="009B6C9F">
            <w:pPr>
              <w:jc w:val="right"/>
              <w:rPr>
                <w:bCs/>
              </w:rPr>
            </w:pPr>
            <w:r w:rsidRPr="004E2074">
              <w:t>44</w:t>
            </w:r>
          </w:p>
        </w:tc>
        <w:tc>
          <w:tcPr>
            <w:tcW w:w="929" w:type="dxa"/>
            <w:tcBorders>
              <w:top w:val="nil"/>
              <w:left w:val="nil"/>
              <w:bottom w:val="single" w:sz="4" w:space="0" w:color="auto"/>
              <w:right w:val="single" w:sz="4" w:space="0" w:color="auto"/>
            </w:tcBorders>
            <w:shd w:val="clear" w:color="auto" w:fill="auto"/>
          </w:tcPr>
          <w:p w14:paraId="19D696BA" w14:textId="77777777" w:rsidR="00FA554E" w:rsidRPr="004E2074" w:rsidRDefault="00FA554E" w:rsidP="009B6C9F">
            <w:pPr>
              <w:jc w:val="right"/>
            </w:pPr>
            <w:r w:rsidRPr="004E2074">
              <w:t>9</w:t>
            </w:r>
          </w:p>
        </w:tc>
        <w:tc>
          <w:tcPr>
            <w:tcW w:w="929" w:type="dxa"/>
            <w:tcBorders>
              <w:top w:val="nil"/>
              <w:left w:val="nil"/>
              <w:bottom w:val="single" w:sz="4" w:space="0" w:color="auto"/>
              <w:right w:val="single" w:sz="4" w:space="0" w:color="auto"/>
            </w:tcBorders>
            <w:shd w:val="clear" w:color="auto" w:fill="auto"/>
          </w:tcPr>
          <w:p w14:paraId="58613011" w14:textId="386C37B6" w:rsidR="00FA554E" w:rsidRPr="004E2074" w:rsidRDefault="000C26A3" w:rsidP="009B6C9F">
            <w:pPr>
              <w:jc w:val="right"/>
            </w:pPr>
            <w:r>
              <w:t>-</w:t>
            </w:r>
          </w:p>
        </w:tc>
        <w:tc>
          <w:tcPr>
            <w:tcW w:w="929" w:type="dxa"/>
            <w:tcBorders>
              <w:top w:val="nil"/>
              <w:left w:val="nil"/>
              <w:bottom w:val="single" w:sz="4" w:space="0" w:color="auto"/>
              <w:right w:val="single" w:sz="4" w:space="0" w:color="auto"/>
            </w:tcBorders>
            <w:shd w:val="clear" w:color="auto" w:fill="auto"/>
          </w:tcPr>
          <w:p w14:paraId="237DD57E" w14:textId="77777777" w:rsidR="00FA554E" w:rsidRPr="004E2074" w:rsidRDefault="00FA554E" w:rsidP="009B6C9F">
            <w:pPr>
              <w:jc w:val="right"/>
              <w:rPr>
                <w:bCs/>
              </w:rPr>
            </w:pPr>
            <w:r w:rsidRPr="004E2074">
              <w:t>20</w:t>
            </w:r>
          </w:p>
        </w:tc>
        <w:tc>
          <w:tcPr>
            <w:tcW w:w="929" w:type="dxa"/>
            <w:tcBorders>
              <w:top w:val="nil"/>
              <w:left w:val="nil"/>
              <w:bottom w:val="single" w:sz="4" w:space="0" w:color="auto"/>
              <w:right w:val="single" w:sz="4" w:space="0" w:color="auto"/>
            </w:tcBorders>
            <w:shd w:val="clear" w:color="auto" w:fill="auto"/>
          </w:tcPr>
          <w:p w14:paraId="2D740A08" w14:textId="77777777" w:rsidR="00FA554E" w:rsidRPr="004E2074" w:rsidRDefault="00FA554E" w:rsidP="009B6C9F">
            <w:pPr>
              <w:jc w:val="right"/>
            </w:pPr>
            <w:r w:rsidRPr="004E2074">
              <w:t>5</w:t>
            </w:r>
          </w:p>
        </w:tc>
        <w:tc>
          <w:tcPr>
            <w:tcW w:w="929" w:type="dxa"/>
            <w:tcBorders>
              <w:top w:val="nil"/>
              <w:left w:val="nil"/>
              <w:bottom w:val="single" w:sz="4" w:space="0" w:color="auto"/>
              <w:right w:val="single" w:sz="4" w:space="0" w:color="auto"/>
            </w:tcBorders>
            <w:shd w:val="clear" w:color="auto" w:fill="auto"/>
          </w:tcPr>
          <w:p w14:paraId="57B1A4C7" w14:textId="77777777" w:rsidR="00FA554E" w:rsidRPr="009B6C9F" w:rsidRDefault="00FA554E" w:rsidP="009B6C9F">
            <w:pPr>
              <w:jc w:val="right"/>
              <w:rPr>
                <w:b/>
                <w:bCs/>
              </w:rPr>
            </w:pPr>
            <w:r w:rsidRPr="009B6C9F">
              <w:rPr>
                <w:b/>
                <w:bCs/>
              </w:rPr>
              <w:t>78</w:t>
            </w:r>
          </w:p>
        </w:tc>
      </w:tr>
      <w:tr w:rsidR="00FA554E" w:rsidRPr="004E2074" w14:paraId="76E5D4B4"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2F45C062" w14:textId="77777777" w:rsidR="00FA554E" w:rsidRPr="004E2074" w:rsidRDefault="00FA554E" w:rsidP="004024CE">
            <w:r w:rsidRPr="004E2074">
              <w:t>Domestic Violence Order</w:t>
            </w:r>
          </w:p>
        </w:tc>
        <w:tc>
          <w:tcPr>
            <w:tcW w:w="930" w:type="dxa"/>
            <w:tcBorders>
              <w:top w:val="nil"/>
              <w:left w:val="nil"/>
              <w:bottom w:val="single" w:sz="4" w:space="0" w:color="auto"/>
              <w:right w:val="single" w:sz="4" w:space="0" w:color="auto"/>
            </w:tcBorders>
            <w:shd w:val="clear" w:color="auto" w:fill="auto"/>
          </w:tcPr>
          <w:p w14:paraId="21F2325D" w14:textId="77777777" w:rsidR="00FA554E" w:rsidRPr="004E2074" w:rsidRDefault="00FA554E" w:rsidP="009B6C9F">
            <w:pPr>
              <w:jc w:val="right"/>
              <w:rPr>
                <w:bCs/>
              </w:rPr>
            </w:pPr>
            <w:r w:rsidRPr="004E2074">
              <w:t>93</w:t>
            </w:r>
          </w:p>
        </w:tc>
        <w:tc>
          <w:tcPr>
            <w:tcW w:w="929" w:type="dxa"/>
            <w:tcBorders>
              <w:top w:val="nil"/>
              <w:left w:val="nil"/>
              <w:bottom w:val="single" w:sz="4" w:space="0" w:color="auto"/>
              <w:right w:val="single" w:sz="4" w:space="0" w:color="auto"/>
            </w:tcBorders>
            <w:shd w:val="clear" w:color="auto" w:fill="auto"/>
          </w:tcPr>
          <w:p w14:paraId="6382ED8E" w14:textId="77777777" w:rsidR="00FA554E" w:rsidRPr="004E2074" w:rsidRDefault="00FA554E" w:rsidP="009B6C9F">
            <w:pPr>
              <w:jc w:val="right"/>
              <w:rPr>
                <w:bCs/>
              </w:rPr>
            </w:pPr>
            <w:r w:rsidRPr="004E2074">
              <w:t>10</w:t>
            </w:r>
          </w:p>
        </w:tc>
        <w:tc>
          <w:tcPr>
            <w:tcW w:w="929" w:type="dxa"/>
            <w:tcBorders>
              <w:top w:val="nil"/>
              <w:left w:val="nil"/>
              <w:bottom w:val="single" w:sz="4" w:space="0" w:color="auto"/>
              <w:right w:val="single" w:sz="4" w:space="0" w:color="auto"/>
            </w:tcBorders>
            <w:shd w:val="clear" w:color="auto" w:fill="auto"/>
          </w:tcPr>
          <w:p w14:paraId="30E03D46" w14:textId="2AA222FA" w:rsidR="00FA554E" w:rsidRPr="004E2074" w:rsidRDefault="000C26A3" w:rsidP="009B6C9F">
            <w:pPr>
              <w:jc w:val="right"/>
            </w:pPr>
            <w:r>
              <w:t>-</w:t>
            </w:r>
          </w:p>
        </w:tc>
        <w:tc>
          <w:tcPr>
            <w:tcW w:w="929" w:type="dxa"/>
            <w:tcBorders>
              <w:top w:val="nil"/>
              <w:left w:val="nil"/>
              <w:bottom w:val="single" w:sz="4" w:space="0" w:color="auto"/>
              <w:right w:val="single" w:sz="4" w:space="0" w:color="auto"/>
            </w:tcBorders>
            <w:shd w:val="clear" w:color="auto" w:fill="auto"/>
          </w:tcPr>
          <w:p w14:paraId="259B745B" w14:textId="77777777" w:rsidR="00FA554E" w:rsidRPr="004E2074" w:rsidRDefault="00FA554E" w:rsidP="009B6C9F">
            <w:pPr>
              <w:jc w:val="right"/>
              <w:rPr>
                <w:bCs/>
              </w:rPr>
            </w:pPr>
            <w:r w:rsidRPr="004E2074">
              <w:t>43</w:t>
            </w:r>
          </w:p>
        </w:tc>
        <w:tc>
          <w:tcPr>
            <w:tcW w:w="929" w:type="dxa"/>
            <w:tcBorders>
              <w:top w:val="nil"/>
              <w:left w:val="nil"/>
              <w:bottom w:val="single" w:sz="4" w:space="0" w:color="auto"/>
              <w:right w:val="single" w:sz="4" w:space="0" w:color="auto"/>
            </w:tcBorders>
            <w:shd w:val="clear" w:color="auto" w:fill="auto"/>
          </w:tcPr>
          <w:p w14:paraId="57CB9D4D" w14:textId="77777777" w:rsidR="00FA554E" w:rsidRPr="004E2074" w:rsidRDefault="00FA554E" w:rsidP="009B6C9F">
            <w:pPr>
              <w:jc w:val="right"/>
              <w:rPr>
                <w:bCs/>
              </w:rPr>
            </w:pPr>
            <w:r w:rsidRPr="004E2074">
              <w:t>27</w:t>
            </w:r>
          </w:p>
        </w:tc>
        <w:tc>
          <w:tcPr>
            <w:tcW w:w="929" w:type="dxa"/>
            <w:tcBorders>
              <w:top w:val="nil"/>
              <w:left w:val="nil"/>
              <w:bottom w:val="single" w:sz="4" w:space="0" w:color="auto"/>
              <w:right w:val="single" w:sz="4" w:space="0" w:color="auto"/>
            </w:tcBorders>
            <w:shd w:val="clear" w:color="auto" w:fill="auto"/>
          </w:tcPr>
          <w:p w14:paraId="395E6F6F" w14:textId="77777777" w:rsidR="00FA554E" w:rsidRPr="009B6C9F" w:rsidRDefault="00FA554E" w:rsidP="009B6C9F">
            <w:pPr>
              <w:jc w:val="right"/>
              <w:rPr>
                <w:b/>
                <w:bCs/>
              </w:rPr>
            </w:pPr>
            <w:r w:rsidRPr="009B6C9F">
              <w:rPr>
                <w:b/>
                <w:bCs/>
              </w:rPr>
              <w:t>173</w:t>
            </w:r>
          </w:p>
        </w:tc>
      </w:tr>
      <w:tr w:rsidR="00FA554E" w:rsidRPr="004E2074" w14:paraId="41D1EAE1"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6A1E065B" w14:textId="77777777" w:rsidR="00FA554E" w:rsidRPr="004E2074" w:rsidRDefault="00FA554E" w:rsidP="004024CE">
            <w:r w:rsidRPr="004E2074">
              <w:t>School Attendance</w:t>
            </w:r>
          </w:p>
        </w:tc>
        <w:tc>
          <w:tcPr>
            <w:tcW w:w="930" w:type="dxa"/>
            <w:tcBorders>
              <w:top w:val="nil"/>
              <w:left w:val="nil"/>
              <w:bottom w:val="single" w:sz="4" w:space="0" w:color="auto"/>
              <w:right w:val="single" w:sz="4" w:space="0" w:color="auto"/>
            </w:tcBorders>
            <w:shd w:val="clear" w:color="auto" w:fill="auto"/>
          </w:tcPr>
          <w:p w14:paraId="1CE6D2C3" w14:textId="77777777" w:rsidR="00FA554E" w:rsidRPr="004E2074" w:rsidRDefault="00FA554E" w:rsidP="009B6C9F">
            <w:pPr>
              <w:jc w:val="right"/>
              <w:rPr>
                <w:bCs/>
              </w:rPr>
            </w:pPr>
            <w:r w:rsidRPr="004E2074">
              <w:t>1,144</w:t>
            </w:r>
          </w:p>
        </w:tc>
        <w:tc>
          <w:tcPr>
            <w:tcW w:w="929" w:type="dxa"/>
            <w:tcBorders>
              <w:top w:val="nil"/>
              <w:left w:val="nil"/>
              <w:bottom w:val="single" w:sz="4" w:space="0" w:color="auto"/>
              <w:right w:val="single" w:sz="4" w:space="0" w:color="auto"/>
            </w:tcBorders>
            <w:shd w:val="clear" w:color="auto" w:fill="auto"/>
          </w:tcPr>
          <w:p w14:paraId="5E30466C" w14:textId="77777777" w:rsidR="00FA554E" w:rsidRPr="004E2074" w:rsidRDefault="00FA554E" w:rsidP="009B6C9F">
            <w:pPr>
              <w:jc w:val="right"/>
              <w:rPr>
                <w:bCs/>
              </w:rPr>
            </w:pPr>
            <w:r w:rsidRPr="004E2074">
              <w:t>123</w:t>
            </w:r>
          </w:p>
        </w:tc>
        <w:tc>
          <w:tcPr>
            <w:tcW w:w="929" w:type="dxa"/>
            <w:tcBorders>
              <w:top w:val="nil"/>
              <w:left w:val="nil"/>
              <w:bottom w:val="single" w:sz="4" w:space="0" w:color="auto"/>
              <w:right w:val="single" w:sz="4" w:space="0" w:color="auto"/>
            </w:tcBorders>
            <w:shd w:val="clear" w:color="auto" w:fill="auto"/>
          </w:tcPr>
          <w:p w14:paraId="7D0A974A" w14:textId="77777777" w:rsidR="00FA554E" w:rsidRPr="004E2074" w:rsidRDefault="00FA554E" w:rsidP="009B6C9F">
            <w:pPr>
              <w:jc w:val="right"/>
              <w:rPr>
                <w:bCs/>
              </w:rPr>
            </w:pPr>
            <w:r w:rsidRPr="004E2074">
              <w:t>1,560</w:t>
            </w:r>
          </w:p>
        </w:tc>
        <w:tc>
          <w:tcPr>
            <w:tcW w:w="929" w:type="dxa"/>
            <w:tcBorders>
              <w:top w:val="nil"/>
              <w:left w:val="nil"/>
              <w:bottom w:val="single" w:sz="4" w:space="0" w:color="auto"/>
              <w:right w:val="single" w:sz="4" w:space="0" w:color="auto"/>
            </w:tcBorders>
            <w:shd w:val="clear" w:color="auto" w:fill="auto"/>
          </w:tcPr>
          <w:p w14:paraId="1A5AEDF7" w14:textId="77777777" w:rsidR="00FA554E" w:rsidRPr="004E2074" w:rsidRDefault="00FA554E" w:rsidP="009B6C9F">
            <w:pPr>
              <w:jc w:val="right"/>
              <w:rPr>
                <w:bCs/>
              </w:rPr>
            </w:pPr>
            <w:r w:rsidRPr="004E2074">
              <w:t>505</w:t>
            </w:r>
          </w:p>
        </w:tc>
        <w:tc>
          <w:tcPr>
            <w:tcW w:w="929" w:type="dxa"/>
            <w:tcBorders>
              <w:top w:val="nil"/>
              <w:left w:val="nil"/>
              <w:bottom w:val="single" w:sz="4" w:space="0" w:color="auto"/>
              <w:right w:val="single" w:sz="4" w:space="0" w:color="auto"/>
            </w:tcBorders>
            <w:shd w:val="clear" w:color="auto" w:fill="auto"/>
          </w:tcPr>
          <w:p w14:paraId="2D67EEC7" w14:textId="77777777" w:rsidR="00FA554E" w:rsidRPr="004E2074" w:rsidRDefault="00FA554E" w:rsidP="009B6C9F">
            <w:pPr>
              <w:jc w:val="right"/>
              <w:rPr>
                <w:bCs/>
              </w:rPr>
            </w:pPr>
            <w:r w:rsidRPr="004E2074">
              <w:t>84</w:t>
            </w:r>
          </w:p>
        </w:tc>
        <w:tc>
          <w:tcPr>
            <w:tcW w:w="929" w:type="dxa"/>
            <w:tcBorders>
              <w:top w:val="nil"/>
              <w:left w:val="nil"/>
              <w:bottom w:val="single" w:sz="4" w:space="0" w:color="auto"/>
              <w:right w:val="single" w:sz="4" w:space="0" w:color="auto"/>
            </w:tcBorders>
            <w:shd w:val="clear" w:color="auto" w:fill="auto"/>
          </w:tcPr>
          <w:p w14:paraId="07401E2A" w14:textId="77777777" w:rsidR="00FA554E" w:rsidRPr="009B6C9F" w:rsidRDefault="00FA554E" w:rsidP="009B6C9F">
            <w:pPr>
              <w:jc w:val="right"/>
              <w:rPr>
                <w:b/>
                <w:bCs/>
              </w:rPr>
            </w:pPr>
            <w:r w:rsidRPr="009B6C9F">
              <w:rPr>
                <w:b/>
                <w:bCs/>
              </w:rPr>
              <w:t>3,416</w:t>
            </w:r>
          </w:p>
        </w:tc>
      </w:tr>
      <w:tr w:rsidR="00FA554E" w:rsidRPr="004E2074" w14:paraId="06742A4A"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2D2C875E" w14:textId="77777777" w:rsidR="00FA554E" w:rsidRPr="004E2074" w:rsidRDefault="00FA554E" w:rsidP="004024CE">
            <w:r w:rsidRPr="004E2074">
              <w:t>School Enrolment</w:t>
            </w:r>
          </w:p>
        </w:tc>
        <w:tc>
          <w:tcPr>
            <w:tcW w:w="930" w:type="dxa"/>
            <w:tcBorders>
              <w:top w:val="nil"/>
              <w:left w:val="nil"/>
              <w:bottom w:val="single" w:sz="4" w:space="0" w:color="auto"/>
              <w:right w:val="single" w:sz="4" w:space="0" w:color="auto"/>
            </w:tcBorders>
            <w:shd w:val="clear" w:color="auto" w:fill="auto"/>
          </w:tcPr>
          <w:p w14:paraId="2051DB85" w14:textId="77777777" w:rsidR="00FA554E" w:rsidRPr="004E2074" w:rsidRDefault="00FA554E" w:rsidP="009B6C9F">
            <w:pPr>
              <w:jc w:val="right"/>
              <w:rPr>
                <w:bCs/>
              </w:rPr>
            </w:pPr>
            <w:r w:rsidRPr="004E2074">
              <w:t>21</w:t>
            </w:r>
          </w:p>
        </w:tc>
        <w:tc>
          <w:tcPr>
            <w:tcW w:w="929" w:type="dxa"/>
            <w:tcBorders>
              <w:top w:val="nil"/>
              <w:left w:val="nil"/>
              <w:bottom w:val="single" w:sz="4" w:space="0" w:color="auto"/>
              <w:right w:val="single" w:sz="4" w:space="0" w:color="auto"/>
            </w:tcBorders>
            <w:shd w:val="clear" w:color="auto" w:fill="auto"/>
          </w:tcPr>
          <w:p w14:paraId="7F5F43E5" w14:textId="77777777" w:rsidR="00FA554E" w:rsidRPr="004E2074" w:rsidRDefault="00FA554E" w:rsidP="009B6C9F">
            <w:pPr>
              <w:jc w:val="right"/>
            </w:pPr>
            <w:r w:rsidRPr="004E2074">
              <w:t>0</w:t>
            </w:r>
          </w:p>
        </w:tc>
        <w:tc>
          <w:tcPr>
            <w:tcW w:w="929" w:type="dxa"/>
            <w:tcBorders>
              <w:top w:val="nil"/>
              <w:left w:val="nil"/>
              <w:bottom w:val="single" w:sz="4" w:space="0" w:color="auto"/>
              <w:right w:val="single" w:sz="4" w:space="0" w:color="auto"/>
            </w:tcBorders>
            <w:shd w:val="clear" w:color="auto" w:fill="auto"/>
          </w:tcPr>
          <w:p w14:paraId="04BCAC72" w14:textId="77777777" w:rsidR="00FA554E" w:rsidRPr="004E2074" w:rsidRDefault="00FA554E" w:rsidP="009B6C9F">
            <w:pPr>
              <w:jc w:val="right"/>
            </w:pPr>
            <w:r w:rsidRPr="004E2074">
              <w:t>0</w:t>
            </w:r>
          </w:p>
        </w:tc>
        <w:tc>
          <w:tcPr>
            <w:tcW w:w="929" w:type="dxa"/>
            <w:tcBorders>
              <w:top w:val="nil"/>
              <w:left w:val="nil"/>
              <w:bottom w:val="single" w:sz="4" w:space="0" w:color="auto"/>
              <w:right w:val="single" w:sz="4" w:space="0" w:color="auto"/>
            </w:tcBorders>
            <w:shd w:val="clear" w:color="auto" w:fill="auto"/>
          </w:tcPr>
          <w:p w14:paraId="55303574" w14:textId="77777777" w:rsidR="00FA554E" w:rsidRPr="004E2074" w:rsidRDefault="00FA554E" w:rsidP="009B6C9F">
            <w:pPr>
              <w:jc w:val="right"/>
            </w:pPr>
            <w:r w:rsidRPr="004E2074">
              <w:t>5</w:t>
            </w:r>
          </w:p>
        </w:tc>
        <w:tc>
          <w:tcPr>
            <w:tcW w:w="929" w:type="dxa"/>
            <w:tcBorders>
              <w:top w:val="nil"/>
              <w:left w:val="nil"/>
              <w:bottom w:val="single" w:sz="4" w:space="0" w:color="auto"/>
              <w:right w:val="single" w:sz="4" w:space="0" w:color="auto"/>
            </w:tcBorders>
            <w:shd w:val="clear" w:color="auto" w:fill="auto"/>
          </w:tcPr>
          <w:p w14:paraId="357F8B24" w14:textId="77777777" w:rsidR="00FA554E" w:rsidRPr="004E2074" w:rsidRDefault="00FA554E" w:rsidP="009B6C9F">
            <w:pPr>
              <w:jc w:val="right"/>
            </w:pPr>
            <w:r w:rsidRPr="004E2074">
              <w:t>2</w:t>
            </w:r>
          </w:p>
        </w:tc>
        <w:tc>
          <w:tcPr>
            <w:tcW w:w="929" w:type="dxa"/>
            <w:tcBorders>
              <w:top w:val="nil"/>
              <w:left w:val="nil"/>
              <w:bottom w:val="single" w:sz="4" w:space="0" w:color="auto"/>
              <w:right w:val="single" w:sz="4" w:space="0" w:color="auto"/>
            </w:tcBorders>
            <w:shd w:val="clear" w:color="auto" w:fill="auto"/>
          </w:tcPr>
          <w:p w14:paraId="7909C269" w14:textId="77777777" w:rsidR="00FA554E" w:rsidRPr="009B6C9F" w:rsidRDefault="00FA554E" w:rsidP="009B6C9F">
            <w:pPr>
              <w:jc w:val="right"/>
              <w:rPr>
                <w:b/>
                <w:bCs/>
              </w:rPr>
            </w:pPr>
            <w:r w:rsidRPr="009B6C9F">
              <w:rPr>
                <w:b/>
                <w:bCs/>
              </w:rPr>
              <w:t>28</w:t>
            </w:r>
          </w:p>
        </w:tc>
      </w:tr>
      <w:tr w:rsidR="00FA554E" w:rsidRPr="004E2074" w14:paraId="3910DB3A"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3186FAFA" w14:textId="77777777" w:rsidR="00FA554E" w:rsidRPr="004E2074" w:rsidRDefault="00FA554E" w:rsidP="004024CE">
            <w:r w:rsidRPr="004E2074">
              <w:t>Child Safety and Welfare</w:t>
            </w:r>
          </w:p>
        </w:tc>
        <w:tc>
          <w:tcPr>
            <w:tcW w:w="930" w:type="dxa"/>
            <w:tcBorders>
              <w:top w:val="nil"/>
              <w:left w:val="nil"/>
              <w:bottom w:val="single" w:sz="4" w:space="0" w:color="auto"/>
              <w:right w:val="single" w:sz="4" w:space="0" w:color="auto"/>
            </w:tcBorders>
            <w:shd w:val="clear" w:color="auto" w:fill="auto"/>
          </w:tcPr>
          <w:p w14:paraId="22571519" w14:textId="77777777" w:rsidR="00FA554E" w:rsidRPr="004E2074" w:rsidRDefault="00FA554E" w:rsidP="009B6C9F">
            <w:pPr>
              <w:jc w:val="right"/>
              <w:rPr>
                <w:bCs/>
              </w:rPr>
            </w:pPr>
            <w:r w:rsidRPr="004E2074">
              <w:t>75</w:t>
            </w:r>
          </w:p>
        </w:tc>
        <w:tc>
          <w:tcPr>
            <w:tcW w:w="929" w:type="dxa"/>
            <w:tcBorders>
              <w:top w:val="nil"/>
              <w:left w:val="nil"/>
              <w:bottom w:val="single" w:sz="4" w:space="0" w:color="auto"/>
              <w:right w:val="single" w:sz="4" w:space="0" w:color="auto"/>
            </w:tcBorders>
            <w:shd w:val="clear" w:color="auto" w:fill="auto"/>
          </w:tcPr>
          <w:p w14:paraId="01D1367A" w14:textId="77777777" w:rsidR="00FA554E" w:rsidRPr="004E2074" w:rsidRDefault="00FA554E" w:rsidP="009B6C9F">
            <w:pPr>
              <w:jc w:val="right"/>
              <w:rPr>
                <w:bCs/>
              </w:rPr>
            </w:pPr>
            <w:r w:rsidRPr="004E2074">
              <w:t>14</w:t>
            </w:r>
          </w:p>
        </w:tc>
        <w:tc>
          <w:tcPr>
            <w:tcW w:w="929" w:type="dxa"/>
            <w:tcBorders>
              <w:top w:val="nil"/>
              <w:left w:val="nil"/>
              <w:bottom w:val="single" w:sz="4" w:space="0" w:color="auto"/>
              <w:right w:val="single" w:sz="4" w:space="0" w:color="auto"/>
            </w:tcBorders>
            <w:shd w:val="clear" w:color="auto" w:fill="auto"/>
          </w:tcPr>
          <w:p w14:paraId="5223AA5B" w14:textId="77777777" w:rsidR="00FA554E" w:rsidRPr="004E2074" w:rsidRDefault="00FA554E" w:rsidP="009B6C9F">
            <w:pPr>
              <w:jc w:val="right"/>
              <w:rPr>
                <w:bCs/>
              </w:rPr>
            </w:pPr>
            <w:r w:rsidRPr="004E2074">
              <w:t>135</w:t>
            </w:r>
          </w:p>
        </w:tc>
        <w:tc>
          <w:tcPr>
            <w:tcW w:w="929" w:type="dxa"/>
            <w:tcBorders>
              <w:top w:val="nil"/>
              <w:left w:val="nil"/>
              <w:bottom w:val="single" w:sz="4" w:space="0" w:color="auto"/>
              <w:right w:val="single" w:sz="4" w:space="0" w:color="auto"/>
            </w:tcBorders>
            <w:shd w:val="clear" w:color="auto" w:fill="auto"/>
          </w:tcPr>
          <w:p w14:paraId="3D4B3C34" w14:textId="77777777" w:rsidR="00FA554E" w:rsidRPr="004E2074" w:rsidRDefault="00FA554E" w:rsidP="009B6C9F">
            <w:pPr>
              <w:jc w:val="right"/>
              <w:rPr>
                <w:bCs/>
              </w:rPr>
            </w:pPr>
            <w:r w:rsidRPr="004E2074">
              <w:t>37</w:t>
            </w:r>
          </w:p>
        </w:tc>
        <w:tc>
          <w:tcPr>
            <w:tcW w:w="929" w:type="dxa"/>
            <w:tcBorders>
              <w:top w:val="nil"/>
              <w:left w:val="nil"/>
              <w:bottom w:val="single" w:sz="4" w:space="0" w:color="auto"/>
              <w:right w:val="single" w:sz="4" w:space="0" w:color="auto"/>
            </w:tcBorders>
            <w:shd w:val="clear" w:color="auto" w:fill="auto"/>
          </w:tcPr>
          <w:p w14:paraId="0A516AE4" w14:textId="77777777" w:rsidR="00FA554E" w:rsidRPr="004E2074" w:rsidRDefault="00FA554E" w:rsidP="009B6C9F">
            <w:pPr>
              <w:jc w:val="right"/>
              <w:rPr>
                <w:bCs/>
              </w:rPr>
            </w:pPr>
            <w:r w:rsidRPr="004E2074">
              <w:t>15</w:t>
            </w:r>
          </w:p>
        </w:tc>
        <w:tc>
          <w:tcPr>
            <w:tcW w:w="929" w:type="dxa"/>
            <w:tcBorders>
              <w:top w:val="nil"/>
              <w:left w:val="nil"/>
              <w:bottom w:val="single" w:sz="4" w:space="0" w:color="auto"/>
              <w:right w:val="single" w:sz="4" w:space="0" w:color="auto"/>
            </w:tcBorders>
            <w:shd w:val="clear" w:color="auto" w:fill="auto"/>
          </w:tcPr>
          <w:p w14:paraId="707E51B1" w14:textId="77777777" w:rsidR="00FA554E" w:rsidRPr="009B6C9F" w:rsidRDefault="00FA554E" w:rsidP="009B6C9F">
            <w:pPr>
              <w:jc w:val="right"/>
              <w:rPr>
                <w:b/>
                <w:bCs/>
              </w:rPr>
            </w:pPr>
            <w:r w:rsidRPr="009B6C9F">
              <w:rPr>
                <w:b/>
                <w:bCs/>
              </w:rPr>
              <w:t>276</w:t>
            </w:r>
          </w:p>
        </w:tc>
      </w:tr>
      <w:tr w:rsidR="00FA554E" w:rsidRPr="004E2074" w14:paraId="49C500DF"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56B71783" w14:textId="77777777" w:rsidR="00FA554E" w:rsidRPr="004E2074" w:rsidRDefault="00FA554E" w:rsidP="004024CE">
            <w:r w:rsidRPr="004E2074">
              <w:t>Housing Tenancy</w:t>
            </w:r>
          </w:p>
        </w:tc>
        <w:tc>
          <w:tcPr>
            <w:tcW w:w="930" w:type="dxa"/>
            <w:tcBorders>
              <w:top w:val="nil"/>
              <w:left w:val="nil"/>
              <w:bottom w:val="single" w:sz="4" w:space="0" w:color="auto"/>
              <w:right w:val="single" w:sz="4" w:space="0" w:color="auto"/>
            </w:tcBorders>
            <w:shd w:val="clear" w:color="auto" w:fill="auto"/>
          </w:tcPr>
          <w:p w14:paraId="490DD574" w14:textId="77777777" w:rsidR="00FA554E" w:rsidRPr="004E2074" w:rsidRDefault="00FA554E" w:rsidP="009B6C9F">
            <w:pPr>
              <w:jc w:val="right"/>
            </w:pPr>
            <w:r w:rsidRPr="004E2074">
              <w:t>7</w:t>
            </w:r>
          </w:p>
        </w:tc>
        <w:tc>
          <w:tcPr>
            <w:tcW w:w="929" w:type="dxa"/>
            <w:tcBorders>
              <w:top w:val="nil"/>
              <w:left w:val="nil"/>
              <w:bottom w:val="single" w:sz="4" w:space="0" w:color="auto"/>
              <w:right w:val="single" w:sz="4" w:space="0" w:color="auto"/>
            </w:tcBorders>
            <w:shd w:val="clear" w:color="auto" w:fill="auto"/>
          </w:tcPr>
          <w:p w14:paraId="32C2AD51" w14:textId="77777777" w:rsidR="00FA554E" w:rsidRPr="004E2074" w:rsidRDefault="00FA554E" w:rsidP="009B6C9F">
            <w:pPr>
              <w:jc w:val="right"/>
            </w:pPr>
            <w:r w:rsidRPr="004E2074">
              <w:t>5</w:t>
            </w:r>
          </w:p>
        </w:tc>
        <w:tc>
          <w:tcPr>
            <w:tcW w:w="929" w:type="dxa"/>
            <w:tcBorders>
              <w:top w:val="nil"/>
              <w:left w:val="nil"/>
              <w:bottom w:val="single" w:sz="4" w:space="0" w:color="auto"/>
              <w:right w:val="single" w:sz="4" w:space="0" w:color="auto"/>
            </w:tcBorders>
            <w:shd w:val="clear" w:color="auto" w:fill="auto"/>
          </w:tcPr>
          <w:p w14:paraId="717FBEA9" w14:textId="29248CD7" w:rsidR="00FA554E" w:rsidRPr="004E2074" w:rsidRDefault="000C26A3" w:rsidP="009B6C9F">
            <w:pPr>
              <w:jc w:val="right"/>
            </w:pPr>
            <w:r>
              <w:t>-</w:t>
            </w:r>
          </w:p>
        </w:tc>
        <w:tc>
          <w:tcPr>
            <w:tcW w:w="929" w:type="dxa"/>
            <w:tcBorders>
              <w:top w:val="nil"/>
              <w:left w:val="nil"/>
              <w:bottom w:val="single" w:sz="4" w:space="0" w:color="auto"/>
              <w:right w:val="single" w:sz="4" w:space="0" w:color="auto"/>
            </w:tcBorders>
            <w:shd w:val="clear" w:color="auto" w:fill="auto"/>
          </w:tcPr>
          <w:p w14:paraId="4CC2491D" w14:textId="77777777" w:rsidR="00FA554E" w:rsidRPr="004E2074" w:rsidRDefault="00FA554E" w:rsidP="009B6C9F">
            <w:pPr>
              <w:jc w:val="right"/>
            </w:pPr>
            <w:r w:rsidRPr="004E2074">
              <w:t>8</w:t>
            </w:r>
          </w:p>
        </w:tc>
        <w:tc>
          <w:tcPr>
            <w:tcW w:w="929" w:type="dxa"/>
            <w:tcBorders>
              <w:top w:val="nil"/>
              <w:left w:val="nil"/>
              <w:bottom w:val="single" w:sz="4" w:space="0" w:color="auto"/>
              <w:right w:val="single" w:sz="4" w:space="0" w:color="auto"/>
            </w:tcBorders>
            <w:shd w:val="clear" w:color="auto" w:fill="auto"/>
          </w:tcPr>
          <w:p w14:paraId="547BB0C8" w14:textId="77777777" w:rsidR="00FA554E" w:rsidRPr="004E2074" w:rsidRDefault="00FA554E" w:rsidP="009B6C9F">
            <w:pPr>
              <w:jc w:val="right"/>
            </w:pPr>
            <w:r w:rsidRPr="004E2074">
              <w:t>6</w:t>
            </w:r>
          </w:p>
        </w:tc>
        <w:tc>
          <w:tcPr>
            <w:tcW w:w="929" w:type="dxa"/>
            <w:tcBorders>
              <w:top w:val="nil"/>
              <w:left w:val="nil"/>
              <w:bottom w:val="single" w:sz="4" w:space="0" w:color="auto"/>
              <w:right w:val="single" w:sz="4" w:space="0" w:color="auto"/>
            </w:tcBorders>
            <w:shd w:val="clear" w:color="auto" w:fill="auto"/>
          </w:tcPr>
          <w:p w14:paraId="2839BAEE" w14:textId="77777777" w:rsidR="00FA554E" w:rsidRPr="009B6C9F" w:rsidRDefault="00FA554E" w:rsidP="009B6C9F">
            <w:pPr>
              <w:jc w:val="right"/>
              <w:rPr>
                <w:b/>
                <w:bCs/>
              </w:rPr>
            </w:pPr>
            <w:r w:rsidRPr="009B6C9F">
              <w:rPr>
                <w:b/>
                <w:bCs/>
              </w:rPr>
              <w:t>26</w:t>
            </w:r>
          </w:p>
        </w:tc>
      </w:tr>
      <w:tr w:rsidR="00FA554E" w:rsidRPr="004E2074" w14:paraId="79CB08D1" w14:textId="77777777" w:rsidTr="00885D07">
        <w:trPr>
          <w:trHeight w:val="284"/>
        </w:trPr>
        <w:tc>
          <w:tcPr>
            <w:tcW w:w="2647" w:type="dxa"/>
            <w:tcBorders>
              <w:top w:val="nil"/>
              <w:left w:val="single" w:sz="4" w:space="0" w:color="auto"/>
              <w:bottom w:val="single" w:sz="4" w:space="0" w:color="auto"/>
              <w:right w:val="single" w:sz="4" w:space="0" w:color="auto"/>
            </w:tcBorders>
            <w:shd w:val="clear" w:color="auto" w:fill="auto"/>
            <w:vAlign w:val="center"/>
            <w:hideMark/>
          </w:tcPr>
          <w:p w14:paraId="25BF3EA2" w14:textId="77777777" w:rsidR="00FA554E" w:rsidRPr="009B6C9F" w:rsidRDefault="00FA554E" w:rsidP="004024CE">
            <w:pPr>
              <w:rPr>
                <w:b/>
                <w:bCs/>
              </w:rPr>
            </w:pPr>
            <w:r w:rsidRPr="009B6C9F">
              <w:rPr>
                <w:b/>
                <w:bCs/>
              </w:rPr>
              <w:t>Total</w:t>
            </w:r>
          </w:p>
        </w:tc>
        <w:tc>
          <w:tcPr>
            <w:tcW w:w="930" w:type="dxa"/>
            <w:tcBorders>
              <w:top w:val="nil"/>
              <w:left w:val="nil"/>
              <w:bottom w:val="single" w:sz="4" w:space="0" w:color="auto"/>
              <w:right w:val="single" w:sz="4" w:space="0" w:color="auto"/>
            </w:tcBorders>
            <w:shd w:val="clear" w:color="auto" w:fill="auto"/>
          </w:tcPr>
          <w:p w14:paraId="34D29B9A" w14:textId="77777777" w:rsidR="00FA554E" w:rsidRPr="009B6C9F" w:rsidRDefault="00FA554E" w:rsidP="009B6C9F">
            <w:pPr>
              <w:jc w:val="right"/>
              <w:rPr>
                <w:b/>
                <w:bCs/>
              </w:rPr>
            </w:pPr>
            <w:r w:rsidRPr="009B6C9F">
              <w:rPr>
                <w:b/>
                <w:bCs/>
              </w:rPr>
              <w:t>1,955</w:t>
            </w:r>
          </w:p>
        </w:tc>
        <w:tc>
          <w:tcPr>
            <w:tcW w:w="929" w:type="dxa"/>
            <w:tcBorders>
              <w:top w:val="nil"/>
              <w:left w:val="nil"/>
              <w:bottom w:val="single" w:sz="4" w:space="0" w:color="auto"/>
              <w:right w:val="single" w:sz="4" w:space="0" w:color="auto"/>
            </w:tcBorders>
            <w:shd w:val="clear" w:color="auto" w:fill="auto"/>
          </w:tcPr>
          <w:p w14:paraId="0EA8391E" w14:textId="77777777" w:rsidR="00FA554E" w:rsidRPr="009B6C9F" w:rsidRDefault="00FA554E" w:rsidP="009B6C9F">
            <w:pPr>
              <w:jc w:val="right"/>
              <w:rPr>
                <w:b/>
                <w:bCs/>
              </w:rPr>
            </w:pPr>
            <w:r w:rsidRPr="009B6C9F">
              <w:rPr>
                <w:b/>
                <w:bCs/>
              </w:rPr>
              <w:t>192</w:t>
            </w:r>
          </w:p>
        </w:tc>
        <w:tc>
          <w:tcPr>
            <w:tcW w:w="929" w:type="dxa"/>
            <w:tcBorders>
              <w:top w:val="nil"/>
              <w:left w:val="nil"/>
              <w:bottom w:val="single" w:sz="4" w:space="0" w:color="auto"/>
              <w:right w:val="single" w:sz="4" w:space="0" w:color="auto"/>
            </w:tcBorders>
            <w:shd w:val="clear" w:color="auto" w:fill="auto"/>
          </w:tcPr>
          <w:p w14:paraId="66A3E307" w14:textId="77777777" w:rsidR="00FA554E" w:rsidRPr="009B6C9F" w:rsidRDefault="00FA554E" w:rsidP="009B6C9F">
            <w:pPr>
              <w:jc w:val="right"/>
              <w:rPr>
                <w:b/>
                <w:bCs/>
              </w:rPr>
            </w:pPr>
            <w:r w:rsidRPr="009B6C9F">
              <w:rPr>
                <w:b/>
                <w:bCs/>
              </w:rPr>
              <w:t>1,695</w:t>
            </w:r>
          </w:p>
        </w:tc>
        <w:tc>
          <w:tcPr>
            <w:tcW w:w="929" w:type="dxa"/>
            <w:tcBorders>
              <w:top w:val="nil"/>
              <w:left w:val="nil"/>
              <w:bottom w:val="single" w:sz="4" w:space="0" w:color="auto"/>
              <w:right w:val="single" w:sz="4" w:space="0" w:color="auto"/>
            </w:tcBorders>
            <w:shd w:val="clear" w:color="auto" w:fill="auto"/>
          </w:tcPr>
          <w:p w14:paraId="3849670C" w14:textId="77777777" w:rsidR="00FA554E" w:rsidRPr="009B6C9F" w:rsidRDefault="00FA554E" w:rsidP="009B6C9F">
            <w:pPr>
              <w:jc w:val="right"/>
              <w:rPr>
                <w:b/>
                <w:bCs/>
              </w:rPr>
            </w:pPr>
            <w:r w:rsidRPr="009B6C9F">
              <w:rPr>
                <w:b/>
                <w:bCs/>
              </w:rPr>
              <w:t>850</w:t>
            </w:r>
          </w:p>
        </w:tc>
        <w:tc>
          <w:tcPr>
            <w:tcW w:w="929" w:type="dxa"/>
            <w:tcBorders>
              <w:top w:val="nil"/>
              <w:left w:val="nil"/>
              <w:bottom w:val="single" w:sz="4" w:space="0" w:color="auto"/>
              <w:right w:val="single" w:sz="4" w:space="0" w:color="auto"/>
            </w:tcBorders>
            <w:shd w:val="clear" w:color="auto" w:fill="auto"/>
          </w:tcPr>
          <w:p w14:paraId="73031996" w14:textId="77777777" w:rsidR="00FA554E" w:rsidRPr="009B6C9F" w:rsidRDefault="00FA554E" w:rsidP="009B6C9F">
            <w:pPr>
              <w:jc w:val="right"/>
              <w:rPr>
                <w:b/>
                <w:bCs/>
              </w:rPr>
            </w:pPr>
            <w:r w:rsidRPr="009B6C9F">
              <w:rPr>
                <w:b/>
                <w:bCs/>
              </w:rPr>
              <w:t>249</w:t>
            </w:r>
          </w:p>
        </w:tc>
        <w:tc>
          <w:tcPr>
            <w:tcW w:w="929" w:type="dxa"/>
            <w:tcBorders>
              <w:top w:val="nil"/>
              <w:left w:val="nil"/>
              <w:bottom w:val="single" w:sz="4" w:space="0" w:color="auto"/>
              <w:right w:val="single" w:sz="4" w:space="0" w:color="auto"/>
            </w:tcBorders>
            <w:shd w:val="clear" w:color="auto" w:fill="auto"/>
          </w:tcPr>
          <w:p w14:paraId="58F994B7" w14:textId="77777777" w:rsidR="00FA554E" w:rsidRPr="009B6C9F" w:rsidRDefault="00FA554E" w:rsidP="009B6C9F">
            <w:pPr>
              <w:jc w:val="right"/>
              <w:rPr>
                <w:b/>
                <w:bCs/>
              </w:rPr>
            </w:pPr>
            <w:r w:rsidRPr="009B6C9F">
              <w:rPr>
                <w:b/>
                <w:bCs/>
              </w:rPr>
              <w:t>4,941</w:t>
            </w:r>
          </w:p>
        </w:tc>
      </w:tr>
      <w:bookmarkEnd w:id="2"/>
      <w:bookmarkEnd w:id="3"/>
    </w:tbl>
    <w:p w14:paraId="53EA3ED3" w14:textId="77777777" w:rsidR="0009050D" w:rsidRDefault="0009050D" w:rsidP="004024CE">
      <w:pPr>
        <w:rPr>
          <w:lang w:val="en-US"/>
        </w:rPr>
      </w:pPr>
    </w:p>
    <w:p w14:paraId="0C8BEB99" w14:textId="24866C02" w:rsidR="00FA554E" w:rsidRPr="004E2074" w:rsidRDefault="00FA554E" w:rsidP="004024CE">
      <w:pPr>
        <w:rPr>
          <w:lang w:val="en-US"/>
        </w:rPr>
      </w:pPr>
      <w:r w:rsidRPr="004E2074">
        <w:rPr>
          <w:lang w:val="en-US"/>
        </w:rPr>
        <w:t>Further details of notices within jurisdiction for each community are set out below:</w:t>
      </w:r>
    </w:p>
    <w:p w14:paraId="6ED9FAF6" w14:textId="77777777" w:rsidR="00FA554E" w:rsidRPr="004024CE" w:rsidRDefault="00FA554E" w:rsidP="004024CE">
      <w:pPr>
        <w:pStyle w:val="ListParagraph"/>
        <w:numPr>
          <w:ilvl w:val="0"/>
          <w:numId w:val="34"/>
        </w:numPr>
      </w:pPr>
      <w:r w:rsidRPr="004024CE">
        <w:t xml:space="preserve">Aurukun received </w:t>
      </w:r>
      <w:r w:rsidRPr="008124BF">
        <w:rPr>
          <w:bCs/>
        </w:rPr>
        <w:t>1,955</w:t>
      </w:r>
      <w:r w:rsidRPr="004024CE">
        <w:t xml:space="preserve"> notices relating to 472 clients (240 female and 232 male)</w:t>
      </w:r>
    </w:p>
    <w:p w14:paraId="3B7D99EA" w14:textId="77777777" w:rsidR="00FA554E" w:rsidRPr="004024CE" w:rsidRDefault="00FA554E" w:rsidP="004024CE">
      <w:pPr>
        <w:pStyle w:val="ListParagraph"/>
        <w:numPr>
          <w:ilvl w:val="0"/>
          <w:numId w:val="34"/>
        </w:numPr>
      </w:pPr>
      <w:r w:rsidRPr="004024CE">
        <w:t xml:space="preserve">Coen received </w:t>
      </w:r>
      <w:r w:rsidRPr="008124BF">
        <w:rPr>
          <w:bCs/>
        </w:rPr>
        <w:t>192</w:t>
      </w:r>
      <w:r w:rsidRPr="004024CE">
        <w:t xml:space="preserve"> notices relating to 70 clients (42 female and 28 male)</w:t>
      </w:r>
    </w:p>
    <w:p w14:paraId="5C868B3C" w14:textId="77777777" w:rsidR="00FA554E" w:rsidRPr="004024CE" w:rsidRDefault="00FA554E" w:rsidP="004024CE">
      <w:pPr>
        <w:pStyle w:val="ListParagraph"/>
        <w:numPr>
          <w:ilvl w:val="0"/>
          <w:numId w:val="34"/>
        </w:numPr>
      </w:pPr>
      <w:r w:rsidRPr="004024CE">
        <w:t xml:space="preserve">Doomadgee received </w:t>
      </w:r>
      <w:r w:rsidRPr="008124BF">
        <w:rPr>
          <w:bCs/>
        </w:rPr>
        <w:t>1,695</w:t>
      </w:r>
      <w:r w:rsidRPr="004024CE">
        <w:t xml:space="preserve"> notices relating to 315 clients (227 female and 88 male)</w:t>
      </w:r>
    </w:p>
    <w:p w14:paraId="309865D9" w14:textId="54CDB2DB" w:rsidR="00FA554E" w:rsidRPr="004024CE" w:rsidRDefault="00FA554E" w:rsidP="004024CE">
      <w:pPr>
        <w:pStyle w:val="ListParagraph"/>
        <w:numPr>
          <w:ilvl w:val="0"/>
          <w:numId w:val="34"/>
        </w:numPr>
      </w:pPr>
      <w:r w:rsidRPr="004024CE">
        <w:t xml:space="preserve">Hope Vale received </w:t>
      </w:r>
      <w:r w:rsidRPr="008124BF">
        <w:rPr>
          <w:bCs/>
        </w:rPr>
        <w:t>850</w:t>
      </w:r>
      <w:r w:rsidRPr="004024CE">
        <w:t xml:space="preserve"> notices relating to 280 clients (139 female and 141 male)</w:t>
      </w:r>
    </w:p>
    <w:p w14:paraId="618802A2" w14:textId="77777777" w:rsidR="00FA554E" w:rsidRPr="004024CE" w:rsidRDefault="00FA554E" w:rsidP="004024CE">
      <w:pPr>
        <w:pStyle w:val="ListParagraph"/>
        <w:numPr>
          <w:ilvl w:val="0"/>
          <w:numId w:val="34"/>
        </w:numPr>
        <w:rPr>
          <w:b/>
        </w:rPr>
      </w:pPr>
      <w:r w:rsidRPr="004024CE">
        <w:t xml:space="preserve">Mossman Gorge received </w:t>
      </w:r>
      <w:r w:rsidRPr="008124BF">
        <w:rPr>
          <w:bCs/>
        </w:rPr>
        <w:t>249</w:t>
      </w:r>
      <w:r w:rsidRPr="004024CE">
        <w:t xml:space="preserve"> notices relating to 80 clients (38 female and 42 male).</w:t>
      </w:r>
    </w:p>
    <w:p w14:paraId="1E634716" w14:textId="77777777" w:rsidR="00186CD6" w:rsidRDefault="00186CD6">
      <w:pPr>
        <w:spacing w:after="160" w:line="259" w:lineRule="auto"/>
        <w:rPr>
          <w:rFonts w:ascii="Helvetica" w:hAnsi="Helvetica" w:cs="Helvetica"/>
          <w:b/>
          <w:bCs/>
          <w:sz w:val="17"/>
          <w:szCs w:val="17"/>
        </w:rPr>
      </w:pPr>
      <w:r>
        <w:rPr>
          <w:rFonts w:ascii="Helvetica" w:hAnsi="Helvetica" w:cs="Helvetica"/>
          <w:b/>
          <w:bCs/>
          <w:sz w:val="17"/>
          <w:szCs w:val="17"/>
        </w:rPr>
        <w:br w:type="page"/>
      </w:r>
    </w:p>
    <w:p w14:paraId="46F966AE" w14:textId="1CAFC69D" w:rsidR="00FA554E" w:rsidRPr="004516BE" w:rsidRDefault="00FA554E" w:rsidP="004024CE">
      <w:pPr>
        <w:rPr>
          <w:rFonts w:ascii="Helvetica" w:hAnsi="Helvetica" w:cs="Helvetica"/>
          <w:b/>
          <w:bCs/>
          <w:sz w:val="17"/>
          <w:szCs w:val="17"/>
        </w:rPr>
      </w:pPr>
      <w:r w:rsidRPr="004516BE">
        <w:rPr>
          <w:rFonts w:ascii="Helvetica" w:hAnsi="Helvetica" w:cs="Helvetica"/>
          <w:b/>
          <w:bCs/>
          <w:sz w:val="17"/>
          <w:szCs w:val="17"/>
        </w:rPr>
        <w:lastRenderedPageBreak/>
        <w:t xml:space="preserve">Table </w:t>
      </w:r>
      <w:r w:rsidR="00110290">
        <w:rPr>
          <w:rFonts w:ascii="Helvetica" w:hAnsi="Helvetica" w:cs="Helvetica"/>
          <w:b/>
          <w:bCs/>
          <w:sz w:val="17"/>
          <w:szCs w:val="17"/>
        </w:rPr>
        <w:t>5</w:t>
      </w:r>
      <w:r w:rsidRPr="004516BE">
        <w:rPr>
          <w:rFonts w:ascii="Helvetica" w:hAnsi="Helvetica" w:cs="Helvetica"/>
          <w:b/>
          <w:bCs/>
          <w:sz w:val="17"/>
          <w:szCs w:val="17"/>
        </w:rPr>
        <w:t>: In jurisdiction notices by type and quarter 1 July 2019 to 30 June 2020.</w:t>
      </w:r>
    </w:p>
    <w:tbl>
      <w:tblPr>
        <w:tblW w:w="7654" w:type="dxa"/>
        <w:tblInd w:w="108" w:type="dxa"/>
        <w:tblLook w:val="04A0" w:firstRow="1" w:lastRow="0" w:firstColumn="1" w:lastColumn="0" w:noHBand="0" w:noVBand="1"/>
      </w:tblPr>
      <w:tblGrid>
        <w:gridCol w:w="2694"/>
        <w:gridCol w:w="992"/>
        <w:gridCol w:w="992"/>
        <w:gridCol w:w="992"/>
        <w:gridCol w:w="992"/>
        <w:gridCol w:w="992"/>
      </w:tblGrid>
      <w:tr w:rsidR="00FA554E" w:rsidRPr="004E2074" w14:paraId="17B4FDA0" w14:textId="77777777" w:rsidTr="00061BEF">
        <w:trPr>
          <w:trHeight w:val="480"/>
        </w:trPr>
        <w:tc>
          <w:tcPr>
            <w:tcW w:w="2694"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68E4EC10" w14:textId="509FB063" w:rsidR="00FA554E" w:rsidRPr="007519D3" w:rsidRDefault="00FA554E" w:rsidP="004024CE">
            <w:pPr>
              <w:rPr>
                <w:b/>
                <w:bCs/>
                <w:color w:val="FFFFFF" w:themeColor="background1"/>
              </w:rPr>
            </w:pPr>
            <w:r w:rsidRPr="007519D3">
              <w:rPr>
                <w:b/>
                <w:bCs/>
                <w:color w:val="FFFFFF" w:themeColor="background1"/>
              </w:rPr>
              <w:t xml:space="preserve">Type of </w:t>
            </w:r>
            <w:r w:rsidR="008D2038">
              <w:rPr>
                <w:b/>
                <w:bCs/>
                <w:color w:val="FFFFFF" w:themeColor="background1"/>
              </w:rPr>
              <w:t>n</w:t>
            </w:r>
            <w:r w:rsidRPr="007519D3">
              <w:rPr>
                <w:b/>
                <w:bCs/>
                <w:color w:val="FFFFFF" w:themeColor="background1"/>
              </w:rPr>
              <w:t>otice</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31410D43" w14:textId="77777777" w:rsidR="00FA554E" w:rsidRPr="007519D3" w:rsidRDefault="00FA554E" w:rsidP="009B6C9F">
            <w:pPr>
              <w:jc w:val="center"/>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45</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27A688F3" w14:textId="77777777" w:rsidR="00FA554E" w:rsidRPr="007519D3" w:rsidRDefault="00FA554E" w:rsidP="009B6C9F">
            <w:pPr>
              <w:jc w:val="center"/>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46</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3AE0A24D" w14:textId="77777777" w:rsidR="00FA554E" w:rsidRPr="007519D3" w:rsidRDefault="00FA554E" w:rsidP="009B6C9F">
            <w:pPr>
              <w:jc w:val="center"/>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47</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56BF3D83" w14:textId="77777777" w:rsidR="00FA554E" w:rsidRPr="007519D3" w:rsidRDefault="00FA554E" w:rsidP="009B6C9F">
            <w:pPr>
              <w:jc w:val="center"/>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48</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tcPr>
          <w:p w14:paraId="01A7A6C1" w14:textId="77777777" w:rsidR="00FA554E" w:rsidRPr="007519D3" w:rsidRDefault="00FA554E" w:rsidP="009B6C9F">
            <w:pPr>
              <w:jc w:val="center"/>
              <w:rPr>
                <w:b/>
                <w:bCs/>
                <w:color w:val="FFFFFF" w:themeColor="background1"/>
              </w:rPr>
            </w:pPr>
            <w:r w:rsidRPr="007519D3">
              <w:rPr>
                <w:b/>
                <w:bCs/>
                <w:color w:val="FFFFFF" w:themeColor="background1"/>
              </w:rPr>
              <w:t>Total</w:t>
            </w:r>
          </w:p>
        </w:tc>
      </w:tr>
      <w:tr w:rsidR="00FA554E" w:rsidRPr="004E2074" w14:paraId="05AB1795" w14:textId="77777777" w:rsidTr="00885D07">
        <w:trPr>
          <w:trHeight w:val="245"/>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1572AFDB" w14:textId="77777777" w:rsidR="00FA554E" w:rsidRPr="004E2074" w:rsidRDefault="00FA554E" w:rsidP="004024CE">
            <w:r w:rsidRPr="004E2074">
              <w:t>Supreme Court</w:t>
            </w:r>
          </w:p>
        </w:tc>
        <w:tc>
          <w:tcPr>
            <w:tcW w:w="992" w:type="dxa"/>
            <w:tcBorders>
              <w:top w:val="single" w:sz="4" w:space="0" w:color="auto"/>
              <w:left w:val="nil"/>
              <w:bottom w:val="single" w:sz="4" w:space="0" w:color="auto"/>
              <w:right w:val="single" w:sz="4" w:space="0" w:color="auto"/>
            </w:tcBorders>
            <w:shd w:val="clear" w:color="auto" w:fill="auto"/>
          </w:tcPr>
          <w:p w14:paraId="6BD12389" w14:textId="77777777" w:rsidR="00FA554E" w:rsidRPr="004E2074" w:rsidRDefault="00FA554E" w:rsidP="009B6C9F">
            <w:pPr>
              <w:jc w:val="right"/>
            </w:pPr>
            <w:r w:rsidRPr="004E2074">
              <w:t>0</w:t>
            </w:r>
          </w:p>
        </w:tc>
        <w:tc>
          <w:tcPr>
            <w:tcW w:w="992" w:type="dxa"/>
            <w:tcBorders>
              <w:top w:val="single" w:sz="4" w:space="0" w:color="auto"/>
              <w:left w:val="nil"/>
              <w:bottom w:val="single" w:sz="4" w:space="0" w:color="auto"/>
              <w:right w:val="single" w:sz="4" w:space="0" w:color="auto"/>
            </w:tcBorders>
            <w:shd w:val="clear" w:color="auto" w:fill="auto"/>
          </w:tcPr>
          <w:p w14:paraId="514D1F17" w14:textId="77777777" w:rsidR="00FA554E" w:rsidRPr="004E2074" w:rsidRDefault="00FA554E" w:rsidP="009B6C9F">
            <w:pPr>
              <w:jc w:val="right"/>
            </w:pPr>
            <w:r w:rsidRPr="004E2074">
              <w:t>0</w:t>
            </w:r>
          </w:p>
        </w:tc>
        <w:tc>
          <w:tcPr>
            <w:tcW w:w="992" w:type="dxa"/>
            <w:tcBorders>
              <w:top w:val="single" w:sz="4" w:space="0" w:color="auto"/>
              <w:left w:val="nil"/>
              <w:bottom w:val="single" w:sz="4" w:space="0" w:color="auto"/>
              <w:right w:val="single" w:sz="4" w:space="0" w:color="auto"/>
            </w:tcBorders>
            <w:shd w:val="clear" w:color="auto" w:fill="auto"/>
          </w:tcPr>
          <w:p w14:paraId="16AE8F33" w14:textId="77777777" w:rsidR="00FA554E" w:rsidRPr="004E2074" w:rsidRDefault="00FA554E" w:rsidP="009B6C9F">
            <w:pPr>
              <w:jc w:val="right"/>
            </w:pPr>
            <w:r w:rsidRPr="004E2074">
              <w:t>0</w:t>
            </w:r>
          </w:p>
        </w:tc>
        <w:tc>
          <w:tcPr>
            <w:tcW w:w="992" w:type="dxa"/>
            <w:tcBorders>
              <w:top w:val="single" w:sz="4" w:space="0" w:color="auto"/>
              <w:left w:val="nil"/>
              <w:bottom w:val="single" w:sz="4" w:space="0" w:color="auto"/>
              <w:right w:val="single" w:sz="4" w:space="0" w:color="auto"/>
            </w:tcBorders>
            <w:shd w:val="clear" w:color="auto" w:fill="auto"/>
          </w:tcPr>
          <w:p w14:paraId="41B842D6" w14:textId="77777777" w:rsidR="00FA554E" w:rsidRPr="004E2074" w:rsidRDefault="00FA554E" w:rsidP="009B6C9F">
            <w:pPr>
              <w:jc w:val="right"/>
            </w:pPr>
            <w:r w:rsidRPr="004E2074">
              <w:t>0</w:t>
            </w:r>
          </w:p>
        </w:tc>
        <w:tc>
          <w:tcPr>
            <w:tcW w:w="992" w:type="dxa"/>
            <w:tcBorders>
              <w:top w:val="single" w:sz="4" w:space="0" w:color="auto"/>
              <w:left w:val="nil"/>
              <w:bottom w:val="single" w:sz="4" w:space="0" w:color="auto"/>
              <w:right w:val="single" w:sz="4" w:space="0" w:color="auto"/>
            </w:tcBorders>
          </w:tcPr>
          <w:p w14:paraId="54E8E521" w14:textId="77777777" w:rsidR="00FA554E" w:rsidRPr="009B6C9F" w:rsidRDefault="00FA554E" w:rsidP="009B6C9F">
            <w:pPr>
              <w:jc w:val="right"/>
              <w:rPr>
                <w:b/>
                <w:bCs/>
              </w:rPr>
            </w:pPr>
            <w:r w:rsidRPr="009B6C9F">
              <w:rPr>
                <w:b/>
                <w:bCs/>
              </w:rPr>
              <w:t>0</w:t>
            </w:r>
          </w:p>
        </w:tc>
      </w:tr>
      <w:tr w:rsidR="00FA554E" w:rsidRPr="004E2074" w14:paraId="1FD87C59"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FB45485" w14:textId="77777777" w:rsidR="00FA554E" w:rsidRPr="004E2074" w:rsidRDefault="00FA554E" w:rsidP="004024CE">
            <w:r w:rsidRPr="004E2074">
              <w:t>District Court</w:t>
            </w:r>
          </w:p>
        </w:tc>
        <w:tc>
          <w:tcPr>
            <w:tcW w:w="992" w:type="dxa"/>
            <w:tcBorders>
              <w:top w:val="nil"/>
              <w:left w:val="nil"/>
              <w:bottom w:val="single" w:sz="4" w:space="0" w:color="auto"/>
              <w:right w:val="single" w:sz="4" w:space="0" w:color="auto"/>
            </w:tcBorders>
            <w:shd w:val="clear" w:color="auto" w:fill="auto"/>
          </w:tcPr>
          <w:p w14:paraId="141B3E4C" w14:textId="77777777" w:rsidR="00FA554E" w:rsidRPr="004E2074" w:rsidRDefault="00FA554E" w:rsidP="009B6C9F">
            <w:pPr>
              <w:jc w:val="right"/>
            </w:pPr>
            <w:r w:rsidRPr="004E2074">
              <w:t>13</w:t>
            </w:r>
          </w:p>
        </w:tc>
        <w:tc>
          <w:tcPr>
            <w:tcW w:w="992" w:type="dxa"/>
            <w:tcBorders>
              <w:top w:val="nil"/>
              <w:left w:val="nil"/>
              <w:bottom w:val="single" w:sz="4" w:space="0" w:color="auto"/>
              <w:right w:val="single" w:sz="4" w:space="0" w:color="auto"/>
            </w:tcBorders>
            <w:shd w:val="clear" w:color="auto" w:fill="auto"/>
          </w:tcPr>
          <w:p w14:paraId="7431A420" w14:textId="77777777" w:rsidR="00FA554E" w:rsidRPr="004E2074" w:rsidRDefault="00FA554E" w:rsidP="009B6C9F">
            <w:pPr>
              <w:jc w:val="right"/>
            </w:pPr>
            <w:r w:rsidRPr="004E2074">
              <w:t>11</w:t>
            </w:r>
          </w:p>
        </w:tc>
        <w:tc>
          <w:tcPr>
            <w:tcW w:w="992" w:type="dxa"/>
            <w:tcBorders>
              <w:top w:val="nil"/>
              <w:left w:val="nil"/>
              <w:bottom w:val="single" w:sz="4" w:space="0" w:color="auto"/>
              <w:right w:val="single" w:sz="4" w:space="0" w:color="auto"/>
            </w:tcBorders>
            <w:shd w:val="clear" w:color="auto" w:fill="auto"/>
          </w:tcPr>
          <w:p w14:paraId="2F725A82" w14:textId="77777777" w:rsidR="00FA554E" w:rsidRPr="004E2074" w:rsidRDefault="00FA554E" w:rsidP="009B6C9F">
            <w:pPr>
              <w:jc w:val="right"/>
            </w:pPr>
            <w:r w:rsidRPr="004E2074">
              <w:t>13</w:t>
            </w:r>
          </w:p>
        </w:tc>
        <w:tc>
          <w:tcPr>
            <w:tcW w:w="992" w:type="dxa"/>
            <w:tcBorders>
              <w:top w:val="nil"/>
              <w:left w:val="nil"/>
              <w:bottom w:val="single" w:sz="4" w:space="0" w:color="auto"/>
              <w:right w:val="single" w:sz="4" w:space="0" w:color="auto"/>
            </w:tcBorders>
            <w:shd w:val="clear" w:color="auto" w:fill="auto"/>
          </w:tcPr>
          <w:p w14:paraId="510702DE" w14:textId="77777777" w:rsidR="00FA554E" w:rsidRPr="004E2074" w:rsidRDefault="00FA554E" w:rsidP="009B6C9F">
            <w:pPr>
              <w:jc w:val="right"/>
            </w:pPr>
            <w:r w:rsidRPr="004E2074">
              <w:t>10</w:t>
            </w:r>
          </w:p>
        </w:tc>
        <w:tc>
          <w:tcPr>
            <w:tcW w:w="992" w:type="dxa"/>
            <w:tcBorders>
              <w:top w:val="nil"/>
              <w:left w:val="nil"/>
              <w:bottom w:val="single" w:sz="4" w:space="0" w:color="auto"/>
              <w:right w:val="single" w:sz="4" w:space="0" w:color="auto"/>
            </w:tcBorders>
          </w:tcPr>
          <w:p w14:paraId="1505F018" w14:textId="77777777" w:rsidR="00FA554E" w:rsidRPr="009B6C9F" w:rsidRDefault="00FA554E" w:rsidP="009B6C9F">
            <w:pPr>
              <w:jc w:val="right"/>
              <w:rPr>
                <w:b/>
                <w:bCs/>
              </w:rPr>
            </w:pPr>
            <w:r w:rsidRPr="009B6C9F">
              <w:rPr>
                <w:b/>
                <w:bCs/>
              </w:rPr>
              <w:t>47</w:t>
            </w:r>
          </w:p>
        </w:tc>
      </w:tr>
      <w:tr w:rsidR="00FA554E" w:rsidRPr="004E2074" w14:paraId="7625255A"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F271B94" w14:textId="77777777" w:rsidR="00FA554E" w:rsidRPr="004E2074" w:rsidRDefault="00FA554E" w:rsidP="004024CE">
            <w:r w:rsidRPr="004E2074">
              <w:t>Magistrates Court</w:t>
            </w:r>
          </w:p>
        </w:tc>
        <w:tc>
          <w:tcPr>
            <w:tcW w:w="992" w:type="dxa"/>
            <w:tcBorders>
              <w:top w:val="nil"/>
              <w:left w:val="nil"/>
              <w:bottom w:val="single" w:sz="4" w:space="0" w:color="auto"/>
              <w:right w:val="single" w:sz="4" w:space="0" w:color="auto"/>
            </w:tcBorders>
            <w:shd w:val="clear" w:color="auto" w:fill="auto"/>
          </w:tcPr>
          <w:p w14:paraId="2A59CDEA" w14:textId="77777777" w:rsidR="00FA554E" w:rsidRPr="004E2074" w:rsidRDefault="00FA554E" w:rsidP="009B6C9F">
            <w:pPr>
              <w:jc w:val="right"/>
            </w:pPr>
            <w:r w:rsidRPr="004E2074">
              <w:t>266</w:t>
            </w:r>
          </w:p>
        </w:tc>
        <w:tc>
          <w:tcPr>
            <w:tcW w:w="992" w:type="dxa"/>
            <w:tcBorders>
              <w:top w:val="nil"/>
              <w:left w:val="nil"/>
              <w:bottom w:val="single" w:sz="4" w:space="0" w:color="auto"/>
              <w:right w:val="single" w:sz="4" w:space="0" w:color="auto"/>
            </w:tcBorders>
            <w:shd w:val="clear" w:color="auto" w:fill="auto"/>
          </w:tcPr>
          <w:p w14:paraId="523D58FB" w14:textId="77777777" w:rsidR="00FA554E" w:rsidRPr="004E2074" w:rsidRDefault="00FA554E" w:rsidP="009B6C9F">
            <w:pPr>
              <w:jc w:val="right"/>
            </w:pPr>
            <w:r w:rsidRPr="004E2074">
              <w:t>371</w:t>
            </w:r>
          </w:p>
        </w:tc>
        <w:tc>
          <w:tcPr>
            <w:tcW w:w="992" w:type="dxa"/>
            <w:tcBorders>
              <w:top w:val="nil"/>
              <w:left w:val="nil"/>
              <w:bottom w:val="single" w:sz="4" w:space="0" w:color="auto"/>
              <w:right w:val="single" w:sz="4" w:space="0" w:color="auto"/>
            </w:tcBorders>
            <w:shd w:val="clear" w:color="auto" w:fill="auto"/>
          </w:tcPr>
          <w:p w14:paraId="168B8042" w14:textId="77777777" w:rsidR="00FA554E" w:rsidRPr="004E2074" w:rsidRDefault="00FA554E" w:rsidP="009B6C9F">
            <w:pPr>
              <w:jc w:val="right"/>
            </w:pPr>
            <w:r w:rsidRPr="004E2074">
              <w:t>252</w:t>
            </w:r>
          </w:p>
        </w:tc>
        <w:tc>
          <w:tcPr>
            <w:tcW w:w="992" w:type="dxa"/>
            <w:tcBorders>
              <w:top w:val="nil"/>
              <w:left w:val="nil"/>
              <w:bottom w:val="single" w:sz="4" w:space="0" w:color="auto"/>
              <w:right w:val="single" w:sz="4" w:space="0" w:color="auto"/>
            </w:tcBorders>
            <w:shd w:val="clear" w:color="auto" w:fill="auto"/>
          </w:tcPr>
          <w:p w14:paraId="00C42D1C" w14:textId="77777777" w:rsidR="00FA554E" w:rsidRPr="004E2074" w:rsidRDefault="00FA554E" w:rsidP="009B6C9F">
            <w:pPr>
              <w:jc w:val="right"/>
            </w:pPr>
            <w:r w:rsidRPr="004E2074">
              <w:t>8</w:t>
            </w:r>
          </w:p>
        </w:tc>
        <w:tc>
          <w:tcPr>
            <w:tcW w:w="992" w:type="dxa"/>
            <w:tcBorders>
              <w:top w:val="nil"/>
              <w:left w:val="nil"/>
              <w:bottom w:val="single" w:sz="4" w:space="0" w:color="auto"/>
              <w:right w:val="single" w:sz="4" w:space="0" w:color="auto"/>
            </w:tcBorders>
          </w:tcPr>
          <w:p w14:paraId="01034971" w14:textId="77777777" w:rsidR="00FA554E" w:rsidRPr="009B6C9F" w:rsidRDefault="00FA554E" w:rsidP="009B6C9F">
            <w:pPr>
              <w:jc w:val="right"/>
              <w:rPr>
                <w:b/>
                <w:bCs/>
              </w:rPr>
            </w:pPr>
            <w:r w:rsidRPr="009B6C9F">
              <w:rPr>
                <w:b/>
                <w:bCs/>
              </w:rPr>
              <w:t>897</w:t>
            </w:r>
          </w:p>
        </w:tc>
      </w:tr>
      <w:tr w:rsidR="00FA554E" w:rsidRPr="004E2074" w14:paraId="026A9A99"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0A16E6F8" w14:textId="77777777" w:rsidR="00FA554E" w:rsidRPr="004E2074" w:rsidRDefault="00FA554E" w:rsidP="004024CE">
            <w:r w:rsidRPr="004E2074">
              <w:t>Domestic Violence Breach</w:t>
            </w:r>
          </w:p>
        </w:tc>
        <w:tc>
          <w:tcPr>
            <w:tcW w:w="992" w:type="dxa"/>
            <w:tcBorders>
              <w:top w:val="nil"/>
              <w:left w:val="nil"/>
              <w:bottom w:val="single" w:sz="4" w:space="0" w:color="auto"/>
              <w:right w:val="single" w:sz="4" w:space="0" w:color="auto"/>
            </w:tcBorders>
            <w:shd w:val="clear" w:color="auto" w:fill="auto"/>
          </w:tcPr>
          <w:p w14:paraId="2BA7673A" w14:textId="77777777" w:rsidR="00FA554E" w:rsidRPr="004E2074" w:rsidRDefault="00FA554E" w:rsidP="009B6C9F">
            <w:pPr>
              <w:jc w:val="right"/>
            </w:pPr>
            <w:r w:rsidRPr="004E2074">
              <w:t>27</w:t>
            </w:r>
          </w:p>
        </w:tc>
        <w:tc>
          <w:tcPr>
            <w:tcW w:w="992" w:type="dxa"/>
            <w:tcBorders>
              <w:top w:val="nil"/>
              <w:left w:val="nil"/>
              <w:bottom w:val="single" w:sz="4" w:space="0" w:color="auto"/>
              <w:right w:val="single" w:sz="4" w:space="0" w:color="auto"/>
            </w:tcBorders>
            <w:shd w:val="clear" w:color="auto" w:fill="auto"/>
          </w:tcPr>
          <w:p w14:paraId="502FD936" w14:textId="77777777" w:rsidR="00FA554E" w:rsidRPr="004E2074" w:rsidRDefault="00FA554E" w:rsidP="009B6C9F">
            <w:pPr>
              <w:jc w:val="right"/>
            </w:pPr>
            <w:r w:rsidRPr="004E2074">
              <w:t>31</w:t>
            </w:r>
          </w:p>
        </w:tc>
        <w:tc>
          <w:tcPr>
            <w:tcW w:w="992" w:type="dxa"/>
            <w:tcBorders>
              <w:top w:val="nil"/>
              <w:left w:val="nil"/>
              <w:bottom w:val="single" w:sz="4" w:space="0" w:color="auto"/>
              <w:right w:val="single" w:sz="4" w:space="0" w:color="auto"/>
            </w:tcBorders>
            <w:shd w:val="clear" w:color="auto" w:fill="auto"/>
          </w:tcPr>
          <w:p w14:paraId="56ACCED9" w14:textId="77777777" w:rsidR="00FA554E" w:rsidRPr="004E2074" w:rsidRDefault="00FA554E" w:rsidP="009B6C9F">
            <w:pPr>
              <w:jc w:val="right"/>
            </w:pPr>
            <w:r w:rsidRPr="004E2074">
              <w:t>15</w:t>
            </w:r>
          </w:p>
        </w:tc>
        <w:tc>
          <w:tcPr>
            <w:tcW w:w="992" w:type="dxa"/>
            <w:tcBorders>
              <w:top w:val="nil"/>
              <w:left w:val="nil"/>
              <w:bottom w:val="single" w:sz="4" w:space="0" w:color="auto"/>
              <w:right w:val="single" w:sz="4" w:space="0" w:color="auto"/>
            </w:tcBorders>
            <w:shd w:val="clear" w:color="auto" w:fill="auto"/>
          </w:tcPr>
          <w:p w14:paraId="3E8839B1" w14:textId="77777777" w:rsidR="00FA554E" w:rsidRPr="004E2074" w:rsidRDefault="00FA554E" w:rsidP="009B6C9F">
            <w:pPr>
              <w:jc w:val="right"/>
            </w:pPr>
            <w:r w:rsidRPr="004E2074">
              <w:t>5</w:t>
            </w:r>
          </w:p>
        </w:tc>
        <w:tc>
          <w:tcPr>
            <w:tcW w:w="992" w:type="dxa"/>
            <w:tcBorders>
              <w:top w:val="nil"/>
              <w:left w:val="nil"/>
              <w:bottom w:val="single" w:sz="4" w:space="0" w:color="auto"/>
              <w:right w:val="single" w:sz="4" w:space="0" w:color="auto"/>
            </w:tcBorders>
          </w:tcPr>
          <w:p w14:paraId="0B1A137F" w14:textId="77777777" w:rsidR="00FA554E" w:rsidRPr="009B6C9F" w:rsidRDefault="00FA554E" w:rsidP="009B6C9F">
            <w:pPr>
              <w:jc w:val="right"/>
              <w:rPr>
                <w:b/>
                <w:bCs/>
              </w:rPr>
            </w:pPr>
            <w:r w:rsidRPr="009B6C9F">
              <w:rPr>
                <w:b/>
                <w:bCs/>
              </w:rPr>
              <w:t>78</w:t>
            </w:r>
          </w:p>
        </w:tc>
      </w:tr>
      <w:tr w:rsidR="00FA554E" w:rsidRPr="004E2074" w14:paraId="7BB2F6CB"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4EB9A08B" w14:textId="77777777" w:rsidR="00FA554E" w:rsidRPr="004E2074" w:rsidRDefault="00FA554E" w:rsidP="004024CE">
            <w:r w:rsidRPr="004E2074">
              <w:t>Domestic Violence Order</w:t>
            </w:r>
          </w:p>
        </w:tc>
        <w:tc>
          <w:tcPr>
            <w:tcW w:w="992" w:type="dxa"/>
            <w:tcBorders>
              <w:top w:val="nil"/>
              <w:left w:val="nil"/>
              <w:bottom w:val="single" w:sz="4" w:space="0" w:color="auto"/>
              <w:right w:val="single" w:sz="4" w:space="0" w:color="auto"/>
            </w:tcBorders>
            <w:shd w:val="clear" w:color="auto" w:fill="auto"/>
          </w:tcPr>
          <w:p w14:paraId="4250E0D8" w14:textId="77777777" w:rsidR="00FA554E" w:rsidRPr="004E2074" w:rsidRDefault="00FA554E" w:rsidP="009B6C9F">
            <w:pPr>
              <w:jc w:val="right"/>
            </w:pPr>
            <w:r w:rsidRPr="004E2074">
              <w:t>66</w:t>
            </w:r>
          </w:p>
        </w:tc>
        <w:tc>
          <w:tcPr>
            <w:tcW w:w="992" w:type="dxa"/>
            <w:tcBorders>
              <w:top w:val="nil"/>
              <w:left w:val="nil"/>
              <w:bottom w:val="single" w:sz="4" w:space="0" w:color="auto"/>
              <w:right w:val="single" w:sz="4" w:space="0" w:color="auto"/>
            </w:tcBorders>
            <w:shd w:val="clear" w:color="auto" w:fill="auto"/>
          </w:tcPr>
          <w:p w14:paraId="33CEA1F9" w14:textId="77777777" w:rsidR="00FA554E" w:rsidRPr="004E2074" w:rsidRDefault="00FA554E" w:rsidP="009B6C9F">
            <w:pPr>
              <w:jc w:val="right"/>
            </w:pPr>
            <w:r w:rsidRPr="004E2074">
              <w:t>60</w:t>
            </w:r>
          </w:p>
        </w:tc>
        <w:tc>
          <w:tcPr>
            <w:tcW w:w="992" w:type="dxa"/>
            <w:tcBorders>
              <w:top w:val="nil"/>
              <w:left w:val="nil"/>
              <w:bottom w:val="single" w:sz="4" w:space="0" w:color="auto"/>
              <w:right w:val="single" w:sz="4" w:space="0" w:color="auto"/>
            </w:tcBorders>
            <w:shd w:val="clear" w:color="auto" w:fill="auto"/>
          </w:tcPr>
          <w:p w14:paraId="1928AFB1" w14:textId="77777777" w:rsidR="00FA554E" w:rsidRPr="004E2074" w:rsidRDefault="00FA554E" w:rsidP="009B6C9F">
            <w:pPr>
              <w:jc w:val="right"/>
            </w:pPr>
            <w:r w:rsidRPr="004E2074">
              <w:t>41</w:t>
            </w:r>
          </w:p>
        </w:tc>
        <w:tc>
          <w:tcPr>
            <w:tcW w:w="992" w:type="dxa"/>
            <w:tcBorders>
              <w:top w:val="nil"/>
              <w:left w:val="nil"/>
              <w:bottom w:val="single" w:sz="4" w:space="0" w:color="auto"/>
              <w:right w:val="single" w:sz="4" w:space="0" w:color="auto"/>
            </w:tcBorders>
            <w:shd w:val="clear" w:color="auto" w:fill="auto"/>
          </w:tcPr>
          <w:p w14:paraId="48E8D1CC" w14:textId="77777777" w:rsidR="00FA554E" w:rsidRPr="004E2074" w:rsidRDefault="00FA554E" w:rsidP="009B6C9F">
            <w:pPr>
              <w:jc w:val="right"/>
            </w:pPr>
            <w:r w:rsidRPr="004E2074">
              <w:t>6</w:t>
            </w:r>
          </w:p>
        </w:tc>
        <w:tc>
          <w:tcPr>
            <w:tcW w:w="992" w:type="dxa"/>
            <w:tcBorders>
              <w:top w:val="nil"/>
              <w:left w:val="nil"/>
              <w:bottom w:val="single" w:sz="4" w:space="0" w:color="auto"/>
              <w:right w:val="single" w:sz="4" w:space="0" w:color="auto"/>
            </w:tcBorders>
          </w:tcPr>
          <w:p w14:paraId="26C5574D" w14:textId="77777777" w:rsidR="00FA554E" w:rsidRPr="009B6C9F" w:rsidRDefault="00FA554E" w:rsidP="009B6C9F">
            <w:pPr>
              <w:jc w:val="right"/>
              <w:rPr>
                <w:b/>
                <w:bCs/>
              </w:rPr>
            </w:pPr>
            <w:r w:rsidRPr="009B6C9F">
              <w:rPr>
                <w:b/>
                <w:bCs/>
              </w:rPr>
              <w:t>173</w:t>
            </w:r>
          </w:p>
        </w:tc>
      </w:tr>
      <w:tr w:rsidR="00FA554E" w:rsidRPr="004E2074" w14:paraId="4B60AA7E"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1BB2B113" w14:textId="77777777" w:rsidR="00FA554E" w:rsidRPr="004E2074" w:rsidRDefault="00FA554E" w:rsidP="004024CE">
            <w:r w:rsidRPr="004E2074">
              <w:t>School Attendance</w:t>
            </w:r>
          </w:p>
        </w:tc>
        <w:tc>
          <w:tcPr>
            <w:tcW w:w="992" w:type="dxa"/>
            <w:tcBorders>
              <w:top w:val="nil"/>
              <w:left w:val="nil"/>
              <w:bottom w:val="single" w:sz="4" w:space="0" w:color="auto"/>
              <w:right w:val="single" w:sz="4" w:space="0" w:color="auto"/>
            </w:tcBorders>
            <w:shd w:val="clear" w:color="auto" w:fill="auto"/>
          </w:tcPr>
          <w:p w14:paraId="313FEBF6" w14:textId="77777777" w:rsidR="00FA554E" w:rsidRPr="004E2074" w:rsidRDefault="00FA554E" w:rsidP="009B6C9F">
            <w:pPr>
              <w:jc w:val="right"/>
            </w:pPr>
            <w:r w:rsidRPr="004E2074">
              <w:t>1,003</w:t>
            </w:r>
          </w:p>
        </w:tc>
        <w:tc>
          <w:tcPr>
            <w:tcW w:w="992" w:type="dxa"/>
            <w:tcBorders>
              <w:top w:val="nil"/>
              <w:left w:val="nil"/>
              <w:bottom w:val="single" w:sz="4" w:space="0" w:color="auto"/>
              <w:right w:val="single" w:sz="4" w:space="0" w:color="auto"/>
            </w:tcBorders>
            <w:shd w:val="clear" w:color="auto" w:fill="auto"/>
          </w:tcPr>
          <w:p w14:paraId="7C4C0FD5" w14:textId="77777777" w:rsidR="00FA554E" w:rsidRPr="004E2074" w:rsidRDefault="00FA554E" w:rsidP="009B6C9F">
            <w:pPr>
              <w:jc w:val="right"/>
            </w:pPr>
            <w:r w:rsidRPr="004E2074">
              <w:t>877</w:t>
            </w:r>
          </w:p>
        </w:tc>
        <w:tc>
          <w:tcPr>
            <w:tcW w:w="992" w:type="dxa"/>
            <w:tcBorders>
              <w:top w:val="nil"/>
              <w:left w:val="nil"/>
              <w:bottom w:val="single" w:sz="4" w:space="0" w:color="auto"/>
              <w:right w:val="single" w:sz="4" w:space="0" w:color="auto"/>
            </w:tcBorders>
            <w:shd w:val="clear" w:color="auto" w:fill="auto"/>
          </w:tcPr>
          <w:p w14:paraId="0D086BEC" w14:textId="77777777" w:rsidR="00FA554E" w:rsidRPr="004E2074" w:rsidRDefault="00FA554E" w:rsidP="009B6C9F">
            <w:pPr>
              <w:jc w:val="right"/>
            </w:pPr>
            <w:r w:rsidRPr="004E2074">
              <w:t>808</w:t>
            </w:r>
          </w:p>
        </w:tc>
        <w:tc>
          <w:tcPr>
            <w:tcW w:w="992" w:type="dxa"/>
            <w:tcBorders>
              <w:top w:val="nil"/>
              <w:left w:val="nil"/>
              <w:bottom w:val="single" w:sz="4" w:space="0" w:color="auto"/>
              <w:right w:val="single" w:sz="4" w:space="0" w:color="auto"/>
            </w:tcBorders>
            <w:shd w:val="clear" w:color="auto" w:fill="auto"/>
          </w:tcPr>
          <w:p w14:paraId="1720F4DC" w14:textId="77777777" w:rsidR="00FA554E" w:rsidRPr="004E2074" w:rsidRDefault="00FA554E" w:rsidP="009B6C9F">
            <w:pPr>
              <w:jc w:val="right"/>
            </w:pPr>
            <w:r w:rsidRPr="004E2074">
              <w:t>728</w:t>
            </w:r>
          </w:p>
        </w:tc>
        <w:tc>
          <w:tcPr>
            <w:tcW w:w="992" w:type="dxa"/>
            <w:tcBorders>
              <w:top w:val="nil"/>
              <w:left w:val="nil"/>
              <w:bottom w:val="single" w:sz="4" w:space="0" w:color="auto"/>
              <w:right w:val="single" w:sz="4" w:space="0" w:color="auto"/>
            </w:tcBorders>
          </w:tcPr>
          <w:p w14:paraId="665E5145" w14:textId="77777777" w:rsidR="00FA554E" w:rsidRPr="009B6C9F" w:rsidRDefault="00FA554E" w:rsidP="009B6C9F">
            <w:pPr>
              <w:jc w:val="right"/>
              <w:rPr>
                <w:b/>
                <w:bCs/>
              </w:rPr>
            </w:pPr>
            <w:r w:rsidRPr="009B6C9F">
              <w:rPr>
                <w:b/>
                <w:bCs/>
              </w:rPr>
              <w:t>3,416</w:t>
            </w:r>
          </w:p>
        </w:tc>
      </w:tr>
      <w:tr w:rsidR="00FA554E" w:rsidRPr="004E2074" w14:paraId="26279E69"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679893A" w14:textId="77777777" w:rsidR="00FA554E" w:rsidRPr="004E2074" w:rsidRDefault="00FA554E" w:rsidP="004024CE">
            <w:r w:rsidRPr="004E2074">
              <w:t>School Enrolment</w:t>
            </w:r>
          </w:p>
        </w:tc>
        <w:tc>
          <w:tcPr>
            <w:tcW w:w="992" w:type="dxa"/>
            <w:tcBorders>
              <w:top w:val="nil"/>
              <w:left w:val="nil"/>
              <w:bottom w:val="single" w:sz="4" w:space="0" w:color="auto"/>
              <w:right w:val="single" w:sz="4" w:space="0" w:color="auto"/>
            </w:tcBorders>
            <w:shd w:val="clear" w:color="auto" w:fill="auto"/>
          </w:tcPr>
          <w:p w14:paraId="0F924DAA" w14:textId="77777777" w:rsidR="00FA554E" w:rsidRPr="004E2074" w:rsidRDefault="00FA554E" w:rsidP="009B6C9F">
            <w:pPr>
              <w:jc w:val="right"/>
            </w:pPr>
            <w:r w:rsidRPr="004E2074">
              <w:t>4</w:t>
            </w:r>
          </w:p>
        </w:tc>
        <w:tc>
          <w:tcPr>
            <w:tcW w:w="992" w:type="dxa"/>
            <w:tcBorders>
              <w:top w:val="nil"/>
              <w:left w:val="nil"/>
              <w:bottom w:val="single" w:sz="4" w:space="0" w:color="auto"/>
              <w:right w:val="single" w:sz="4" w:space="0" w:color="auto"/>
            </w:tcBorders>
            <w:shd w:val="clear" w:color="auto" w:fill="auto"/>
          </w:tcPr>
          <w:p w14:paraId="7ABA3331" w14:textId="77777777" w:rsidR="00FA554E" w:rsidRPr="004E2074" w:rsidRDefault="00FA554E" w:rsidP="009B6C9F">
            <w:pPr>
              <w:jc w:val="right"/>
            </w:pPr>
            <w:r w:rsidRPr="004E2074">
              <w:t>4</w:t>
            </w:r>
          </w:p>
        </w:tc>
        <w:tc>
          <w:tcPr>
            <w:tcW w:w="992" w:type="dxa"/>
            <w:tcBorders>
              <w:top w:val="nil"/>
              <w:left w:val="nil"/>
              <w:bottom w:val="single" w:sz="4" w:space="0" w:color="auto"/>
              <w:right w:val="single" w:sz="4" w:space="0" w:color="auto"/>
            </w:tcBorders>
            <w:shd w:val="clear" w:color="auto" w:fill="auto"/>
          </w:tcPr>
          <w:p w14:paraId="544AE718" w14:textId="77777777" w:rsidR="00FA554E" w:rsidRPr="004E2074" w:rsidRDefault="00FA554E" w:rsidP="009B6C9F">
            <w:pPr>
              <w:jc w:val="right"/>
            </w:pPr>
            <w:r w:rsidRPr="004E2074">
              <w:t>20</w:t>
            </w:r>
          </w:p>
        </w:tc>
        <w:tc>
          <w:tcPr>
            <w:tcW w:w="992" w:type="dxa"/>
            <w:tcBorders>
              <w:top w:val="nil"/>
              <w:left w:val="nil"/>
              <w:bottom w:val="single" w:sz="4" w:space="0" w:color="auto"/>
              <w:right w:val="single" w:sz="4" w:space="0" w:color="auto"/>
            </w:tcBorders>
            <w:shd w:val="clear" w:color="auto" w:fill="auto"/>
          </w:tcPr>
          <w:p w14:paraId="58906D24" w14:textId="77777777" w:rsidR="00FA554E" w:rsidRPr="004E2074" w:rsidRDefault="00FA554E" w:rsidP="009B6C9F">
            <w:pPr>
              <w:jc w:val="right"/>
            </w:pPr>
            <w:r w:rsidRPr="004E2074">
              <w:t>0</w:t>
            </w:r>
          </w:p>
        </w:tc>
        <w:tc>
          <w:tcPr>
            <w:tcW w:w="992" w:type="dxa"/>
            <w:tcBorders>
              <w:top w:val="nil"/>
              <w:left w:val="nil"/>
              <w:bottom w:val="single" w:sz="4" w:space="0" w:color="auto"/>
              <w:right w:val="single" w:sz="4" w:space="0" w:color="auto"/>
            </w:tcBorders>
          </w:tcPr>
          <w:p w14:paraId="37B7EDB9" w14:textId="77777777" w:rsidR="00FA554E" w:rsidRPr="009B6C9F" w:rsidRDefault="00FA554E" w:rsidP="009B6C9F">
            <w:pPr>
              <w:jc w:val="right"/>
              <w:rPr>
                <w:b/>
                <w:bCs/>
              </w:rPr>
            </w:pPr>
            <w:r w:rsidRPr="009B6C9F">
              <w:rPr>
                <w:b/>
                <w:bCs/>
              </w:rPr>
              <w:t>28</w:t>
            </w:r>
          </w:p>
        </w:tc>
      </w:tr>
      <w:tr w:rsidR="00FA554E" w:rsidRPr="004E2074" w14:paraId="4E240E63"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8F4F191" w14:textId="77777777" w:rsidR="00FA554E" w:rsidRPr="004E2074" w:rsidRDefault="00FA554E" w:rsidP="004024CE">
            <w:r w:rsidRPr="004E2074">
              <w:t>Child Safety and Welfare</w:t>
            </w:r>
          </w:p>
        </w:tc>
        <w:tc>
          <w:tcPr>
            <w:tcW w:w="992" w:type="dxa"/>
            <w:tcBorders>
              <w:top w:val="nil"/>
              <w:left w:val="nil"/>
              <w:bottom w:val="single" w:sz="4" w:space="0" w:color="auto"/>
              <w:right w:val="single" w:sz="4" w:space="0" w:color="auto"/>
            </w:tcBorders>
            <w:shd w:val="clear" w:color="auto" w:fill="auto"/>
          </w:tcPr>
          <w:p w14:paraId="47E43632" w14:textId="77777777" w:rsidR="00FA554E" w:rsidRPr="004E2074" w:rsidRDefault="00FA554E" w:rsidP="009B6C9F">
            <w:pPr>
              <w:jc w:val="right"/>
            </w:pPr>
            <w:r w:rsidRPr="004E2074">
              <w:t>64</w:t>
            </w:r>
          </w:p>
        </w:tc>
        <w:tc>
          <w:tcPr>
            <w:tcW w:w="992" w:type="dxa"/>
            <w:tcBorders>
              <w:top w:val="nil"/>
              <w:left w:val="nil"/>
              <w:bottom w:val="single" w:sz="4" w:space="0" w:color="auto"/>
              <w:right w:val="single" w:sz="4" w:space="0" w:color="auto"/>
            </w:tcBorders>
            <w:shd w:val="clear" w:color="auto" w:fill="auto"/>
          </w:tcPr>
          <w:p w14:paraId="18FFF2EF" w14:textId="77777777" w:rsidR="00FA554E" w:rsidRPr="004E2074" w:rsidRDefault="00FA554E" w:rsidP="009B6C9F">
            <w:pPr>
              <w:jc w:val="right"/>
            </w:pPr>
            <w:r w:rsidRPr="004E2074">
              <w:t>64</w:t>
            </w:r>
          </w:p>
        </w:tc>
        <w:tc>
          <w:tcPr>
            <w:tcW w:w="992" w:type="dxa"/>
            <w:tcBorders>
              <w:top w:val="nil"/>
              <w:left w:val="nil"/>
              <w:bottom w:val="single" w:sz="4" w:space="0" w:color="auto"/>
              <w:right w:val="single" w:sz="4" w:space="0" w:color="auto"/>
            </w:tcBorders>
            <w:shd w:val="clear" w:color="auto" w:fill="auto"/>
          </w:tcPr>
          <w:p w14:paraId="2E177B57" w14:textId="77777777" w:rsidR="00FA554E" w:rsidRPr="004E2074" w:rsidRDefault="00FA554E" w:rsidP="009B6C9F">
            <w:pPr>
              <w:jc w:val="right"/>
            </w:pPr>
            <w:r w:rsidRPr="004E2074">
              <w:t>68</w:t>
            </w:r>
          </w:p>
        </w:tc>
        <w:tc>
          <w:tcPr>
            <w:tcW w:w="992" w:type="dxa"/>
            <w:tcBorders>
              <w:top w:val="nil"/>
              <w:left w:val="nil"/>
              <w:bottom w:val="single" w:sz="4" w:space="0" w:color="auto"/>
              <w:right w:val="single" w:sz="4" w:space="0" w:color="auto"/>
            </w:tcBorders>
            <w:shd w:val="clear" w:color="auto" w:fill="auto"/>
          </w:tcPr>
          <w:p w14:paraId="55E37B24" w14:textId="77777777" w:rsidR="00FA554E" w:rsidRPr="004E2074" w:rsidRDefault="00FA554E" w:rsidP="009B6C9F">
            <w:pPr>
              <w:jc w:val="right"/>
            </w:pPr>
            <w:r w:rsidRPr="004E2074">
              <w:t>80</w:t>
            </w:r>
          </w:p>
        </w:tc>
        <w:tc>
          <w:tcPr>
            <w:tcW w:w="992" w:type="dxa"/>
            <w:tcBorders>
              <w:top w:val="nil"/>
              <w:left w:val="nil"/>
              <w:bottom w:val="single" w:sz="4" w:space="0" w:color="auto"/>
              <w:right w:val="single" w:sz="4" w:space="0" w:color="auto"/>
            </w:tcBorders>
          </w:tcPr>
          <w:p w14:paraId="12F7F94F" w14:textId="77777777" w:rsidR="00FA554E" w:rsidRPr="009B6C9F" w:rsidRDefault="00FA554E" w:rsidP="009B6C9F">
            <w:pPr>
              <w:jc w:val="right"/>
              <w:rPr>
                <w:b/>
                <w:bCs/>
              </w:rPr>
            </w:pPr>
            <w:r w:rsidRPr="009B6C9F">
              <w:rPr>
                <w:b/>
                <w:bCs/>
              </w:rPr>
              <w:t>276</w:t>
            </w:r>
          </w:p>
        </w:tc>
      </w:tr>
      <w:tr w:rsidR="00FA554E" w:rsidRPr="004E2074" w14:paraId="32DD6EC4"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vAlign w:val="bottom"/>
            <w:hideMark/>
          </w:tcPr>
          <w:p w14:paraId="5848B8C4" w14:textId="77777777" w:rsidR="00FA554E" w:rsidRPr="004E2074" w:rsidRDefault="00FA554E" w:rsidP="004024CE">
            <w:r w:rsidRPr="004E2074">
              <w:t>Housing Tenancy</w:t>
            </w:r>
          </w:p>
        </w:tc>
        <w:tc>
          <w:tcPr>
            <w:tcW w:w="992" w:type="dxa"/>
            <w:tcBorders>
              <w:top w:val="nil"/>
              <w:left w:val="nil"/>
              <w:bottom w:val="single" w:sz="4" w:space="0" w:color="auto"/>
              <w:right w:val="single" w:sz="4" w:space="0" w:color="auto"/>
            </w:tcBorders>
            <w:shd w:val="clear" w:color="auto" w:fill="auto"/>
          </w:tcPr>
          <w:p w14:paraId="78E51802" w14:textId="77777777" w:rsidR="00FA554E" w:rsidRPr="004E2074" w:rsidRDefault="00FA554E" w:rsidP="009B6C9F">
            <w:pPr>
              <w:jc w:val="right"/>
            </w:pPr>
            <w:r w:rsidRPr="004E2074">
              <w:t>14</w:t>
            </w:r>
          </w:p>
        </w:tc>
        <w:tc>
          <w:tcPr>
            <w:tcW w:w="992" w:type="dxa"/>
            <w:tcBorders>
              <w:top w:val="nil"/>
              <w:left w:val="nil"/>
              <w:bottom w:val="single" w:sz="4" w:space="0" w:color="auto"/>
              <w:right w:val="single" w:sz="4" w:space="0" w:color="auto"/>
            </w:tcBorders>
            <w:shd w:val="clear" w:color="auto" w:fill="auto"/>
          </w:tcPr>
          <w:p w14:paraId="07D6F8A5" w14:textId="77777777" w:rsidR="00FA554E" w:rsidRPr="004E2074" w:rsidRDefault="00FA554E" w:rsidP="009B6C9F">
            <w:pPr>
              <w:jc w:val="right"/>
            </w:pPr>
            <w:r w:rsidRPr="004E2074">
              <w:t>8</w:t>
            </w:r>
          </w:p>
        </w:tc>
        <w:tc>
          <w:tcPr>
            <w:tcW w:w="992" w:type="dxa"/>
            <w:tcBorders>
              <w:top w:val="nil"/>
              <w:left w:val="nil"/>
              <w:bottom w:val="single" w:sz="4" w:space="0" w:color="auto"/>
              <w:right w:val="single" w:sz="4" w:space="0" w:color="auto"/>
            </w:tcBorders>
            <w:shd w:val="clear" w:color="auto" w:fill="auto"/>
          </w:tcPr>
          <w:p w14:paraId="5D0D856A" w14:textId="77777777" w:rsidR="00FA554E" w:rsidRPr="004E2074" w:rsidRDefault="00FA554E" w:rsidP="009B6C9F">
            <w:pPr>
              <w:jc w:val="right"/>
            </w:pPr>
            <w:r w:rsidRPr="004E2074">
              <w:t>4</w:t>
            </w:r>
          </w:p>
        </w:tc>
        <w:tc>
          <w:tcPr>
            <w:tcW w:w="992" w:type="dxa"/>
            <w:tcBorders>
              <w:top w:val="nil"/>
              <w:left w:val="nil"/>
              <w:bottom w:val="single" w:sz="4" w:space="0" w:color="auto"/>
              <w:right w:val="single" w:sz="4" w:space="0" w:color="auto"/>
            </w:tcBorders>
            <w:shd w:val="clear" w:color="auto" w:fill="auto"/>
          </w:tcPr>
          <w:p w14:paraId="6AC42B8A" w14:textId="77777777" w:rsidR="00FA554E" w:rsidRPr="004E2074" w:rsidRDefault="00FA554E" w:rsidP="009B6C9F">
            <w:pPr>
              <w:jc w:val="right"/>
            </w:pPr>
            <w:r w:rsidRPr="004E2074">
              <w:t>0</w:t>
            </w:r>
          </w:p>
        </w:tc>
        <w:tc>
          <w:tcPr>
            <w:tcW w:w="992" w:type="dxa"/>
            <w:tcBorders>
              <w:top w:val="nil"/>
              <w:left w:val="nil"/>
              <w:bottom w:val="single" w:sz="4" w:space="0" w:color="auto"/>
              <w:right w:val="single" w:sz="4" w:space="0" w:color="auto"/>
            </w:tcBorders>
          </w:tcPr>
          <w:p w14:paraId="02C74CE4" w14:textId="77777777" w:rsidR="00FA554E" w:rsidRPr="009B6C9F" w:rsidRDefault="00FA554E" w:rsidP="009B6C9F">
            <w:pPr>
              <w:jc w:val="right"/>
              <w:rPr>
                <w:b/>
                <w:bCs/>
              </w:rPr>
            </w:pPr>
            <w:r w:rsidRPr="009B6C9F">
              <w:rPr>
                <w:b/>
                <w:bCs/>
              </w:rPr>
              <w:t>26</w:t>
            </w:r>
          </w:p>
        </w:tc>
      </w:tr>
      <w:tr w:rsidR="00FA554E" w:rsidRPr="004E2074" w14:paraId="3C4F2CAA"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73EF27EC" w14:textId="77777777" w:rsidR="00FA554E" w:rsidRPr="009B6C9F" w:rsidRDefault="00FA554E" w:rsidP="004024CE">
            <w:pPr>
              <w:rPr>
                <w:b/>
                <w:bCs/>
              </w:rPr>
            </w:pPr>
            <w:r w:rsidRPr="009B6C9F">
              <w:rPr>
                <w:b/>
                <w:bCs/>
              </w:rPr>
              <w:t>Total</w:t>
            </w:r>
          </w:p>
        </w:tc>
        <w:tc>
          <w:tcPr>
            <w:tcW w:w="992" w:type="dxa"/>
            <w:tcBorders>
              <w:top w:val="nil"/>
              <w:left w:val="nil"/>
              <w:bottom w:val="single" w:sz="4" w:space="0" w:color="auto"/>
              <w:right w:val="single" w:sz="4" w:space="0" w:color="auto"/>
            </w:tcBorders>
            <w:shd w:val="clear" w:color="auto" w:fill="auto"/>
            <w:noWrap/>
          </w:tcPr>
          <w:p w14:paraId="38DB8DF5" w14:textId="77777777" w:rsidR="00FA554E" w:rsidRPr="009B6C9F" w:rsidRDefault="00FA554E" w:rsidP="009B6C9F">
            <w:pPr>
              <w:jc w:val="right"/>
              <w:rPr>
                <w:b/>
                <w:bCs/>
              </w:rPr>
            </w:pPr>
            <w:r w:rsidRPr="009B6C9F">
              <w:rPr>
                <w:b/>
                <w:bCs/>
              </w:rPr>
              <w:t>1,457</w:t>
            </w:r>
          </w:p>
        </w:tc>
        <w:tc>
          <w:tcPr>
            <w:tcW w:w="992" w:type="dxa"/>
            <w:tcBorders>
              <w:top w:val="nil"/>
              <w:left w:val="nil"/>
              <w:bottom w:val="single" w:sz="4" w:space="0" w:color="auto"/>
              <w:right w:val="single" w:sz="4" w:space="0" w:color="auto"/>
            </w:tcBorders>
            <w:shd w:val="clear" w:color="auto" w:fill="auto"/>
            <w:noWrap/>
          </w:tcPr>
          <w:p w14:paraId="59E1C858" w14:textId="77777777" w:rsidR="00FA554E" w:rsidRPr="009B6C9F" w:rsidRDefault="00FA554E" w:rsidP="009B6C9F">
            <w:pPr>
              <w:jc w:val="right"/>
              <w:rPr>
                <w:b/>
                <w:bCs/>
              </w:rPr>
            </w:pPr>
            <w:r w:rsidRPr="009B6C9F">
              <w:rPr>
                <w:b/>
                <w:bCs/>
              </w:rPr>
              <w:t>1,426</w:t>
            </w:r>
          </w:p>
        </w:tc>
        <w:tc>
          <w:tcPr>
            <w:tcW w:w="992" w:type="dxa"/>
            <w:tcBorders>
              <w:top w:val="nil"/>
              <w:left w:val="nil"/>
              <w:bottom w:val="single" w:sz="4" w:space="0" w:color="auto"/>
              <w:right w:val="single" w:sz="4" w:space="0" w:color="auto"/>
            </w:tcBorders>
            <w:shd w:val="clear" w:color="auto" w:fill="auto"/>
            <w:noWrap/>
          </w:tcPr>
          <w:p w14:paraId="45CFB7BA" w14:textId="77777777" w:rsidR="00FA554E" w:rsidRPr="009B6C9F" w:rsidRDefault="00FA554E" w:rsidP="009B6C9F">
            <w:pPr>
              <w:jc w:val="right"/>
              <w:rPr>
                <w:b/>
                <w:bCs/>
              </w:rPr>
            </w:pPr>
            <w:r w:rsidRPr="009B6C9F">
              <w:rPr>
                <w:b/>
                <w:bCs/>
              </w:rPr>
              <w:t>1,221</w:t>
            </w:r>
          </w:p>
        </w:tc>
        <w:tc>
          <w:tcPr>
            <w:tcW w:w="992" w:type="dxa"/>
            <w:tcBorders>
              <w:top w:val="nil"/>
              <w:left w:val="nil"/>
              <w:bottom w:val="single" w:sz="4" w:space="0" w:color="auto"/>
              <w:right w:val="single" w:sz="4" w:space="0" w:color="auto"/>
            </w:tcBorders>
            <w:shd w:val="clear" w:color="auto" w:fill="auto"/>
            <w:noWrap/>
          </w:tcPr>
          <w:p w14:paraId="4CC839A7" w14:textId="77777777" w:rsidR="00FA554E" w:rsidRPr="009B6C9F" w:rsidRDefault="00FA554E" w:rsidP="009B6C9F">
            <w:pPr>
              <w:jc w:val="right"/>
              <w:rPr>
                <w:b/>
                <w:bCs/>
              </w:rPr>
            </w:pPr>
            <w:r w:rsidRPr="009B6C9F">
              <w:rPr>
                <w:b/>
                <w:bCs/>
              </w:rPr>
              <w:t>837</w:t>
            </w:r>
          </w:p>
        </w:tc>
        <w:tc>
          <w:tcPr>
            <w:tcW w:w="992" w:type="dxa"/>
            <w:tcBorders>
              <w:top w:val="nil"/>
              <w:left w:val="nil"/>
              <w:bottom w:val="single" w:sz="4" w:space="0" w:color="auto"/>
              <w:right w:val="single" w:sz="4" w:space="0" w:color="auto"/>
            </w:tcBorders>
          </w:tcPr>
          <w:p w14:paraId="3858A8C4" w14:textId="77777777" w:rsidR="00FA554E" w:rsidRPr="009B6C9F" w:rsidRDefault="00FA554E" w:rsidP="009B6C9F">
            <w:pPr>
              <w:jc w:val="right"/>
              <w:rPr>
                <w:b/>
                <w:bCs/>
              </w:rPr>
            </w:pPr>
            <w:r w:rsidRPr="009B6C9F">
              <w:rPr>
                <w:b/>
                <w:bCs/>
              </w:rPr>
              <w:t>4,941</w:t>
            </w:r>
          </w:p>
        </w:tc>
      </w:tr>
    </w:tbl>
    <w:p w14:paraId="447137D8" w14:textId="77777777" w:rsidR="00FA554E" w:rsidRPr="004E2074" w:rsidRDefault="00FA554E" w:rsidP="004024CE">
      <w:pPr>
        <w:rPr>
          <w:lang w:val="en-US"/>
        </w:rPr>
      </w:pPr>
    </w:p>
    <w:p w14:paraId="46783B40" w14:textId="242B21A2" w:rsidR="00FA554E" w:rsidRPr="004516BE" w:rsidRDefault="00FA554E" w:rsidP="004024CE">
      <w:pPr>
        <w:rPr>
          <w:rFonts w:ascii="Helvetica" w:hAnsi="Helvetica" w:cs="Helvetica"/>
          <w:b/>
          <w:bCs/>
          <w:sz w:val="17"/>
          <w:szCs w:val="17"/>
        </w:rPr>
      </w:pPr>
      <w:r w:rsidRPr="004516BE">
        <w:rPr>
          <w:rFonts w:ascii="Helvetica" w:hAnsi="Helvetica" w:cs="Helvetica"/>
          <w:b/>
          <w:bCs/>
          <w:sz w:val="17"/>
          <w:szCs w:val="17"/>
        </w:rPr>
        <w:t xml:space="preserve">Table </w:t>
      </w:r>
      <w:r w:rsidR="00110290">
        <w:rPr>
          <w:rFonts w:ascii="Helvetica" w:hAnsi="Helvetica" w:cs="Helvetica"/>
          <w:b/>
          <w:bCs/>
          <w:sz w:val="17"/>
          <w:szCs w:val="17"/>
        </w:rPr>
        <w:t>6</w:t>
      </w:r>
      <w:r w:rsidRPr="004516BE">
        <w:rPr>
          <w:rFonts w:ascii="Helvetica" w:hAnsi="Helvetica" w:cs="Helvetica"/>
          <w:b/>
          <w:bCs/>
          <w:sz w:val="17"/>
          <w:szCs w:val="17"/>
        </w:rPr>
        <w:t>: In jurisdiction notices by community and quarter 1 July 2019 to 30 June 2020.</w:t>
      </w:r>
    </w:p>
    <w:tbl>
      <w:tblPr>
        <w:tblW w:w="7656" w:type="dxa"/>
        <w:tblInd w:w="108" w:type="dxa"/>
        <w:tblLook w:val="04A0" w:firstRow="1" w:lastRow="0" w:firstColumn="1" w:lastColumn="0" w:noHBand="0" w:noVBand="1"/>
      </w:tblPr>
      <w:tblGrid>
        <w:gridCol w:w="2694"/>
        <w:gridCol w:w="992"/>
        <w:gridCol w:w="992"/>
        <w:gridCol w:w="992"/>
        <w:gridCol w:w="993"/>
        <w:gridCol w:w="993"/>
      </w:tblGrid>
      <w:tr w:rsidR="00FA554E" w:rsidRPr="004E2074" w14:paraId="0AE5C7A1" w14:textId="77777777" w:rsidTr="00061BEF">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0D85E1AA" w14:textId="056E0A6D" w:rsidR="00FA554E" w:rsidRPr="007519D3" w:rsidRDefault="00CC39A9" w:rsidP="004024CE">
            <w:pPr>
              <w:rPr>
                <w:b/>
                <w:bCs/>
                <w:color w:val="FFFFFF" w:themeColor="background1"/>
              </w:rPr>
            </w:pPr>
            <w:r>
              <w:rPr>
                <w:b/>
                <w:bCs/>
                <w:color w:val="FFFFFF" w:themeColor="background1"/>
              </w:rPr>
              <w:t>Number of notices</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642F014F" w14:textId="77777777" w:rsidR="00FA554E" w:rsidRPr="007519D3" w:rsidRDefault="00FA554E" w:rsidP="009B6C9F">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45</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7A5229A2" w14:textId="77777777" w:rsidR="00FA554E" w:rsidRPr="007519D3" w:rsidRDefault="00FA554E" w:rsidP="009B6C9F">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46</w:t>
            </w:r>
          </w:p>
        </w:tc>
        <w:tc>
          <w:tcPr>
            <w:tcW w:w="992" w:type="dxa"/>
            <w:tcBorders>
              <w:top w:val="single" w:sz="4" w:space="0" w:color="auto"/>
              <w:left w:val="nil"/>
              <w:bottom w:val="single" w:sz="4" w:space="0" w:color="auto"/>
              <w:right w:val="single" w:sz="4" w:space="0" w:color="auto"/>
            </w:tcBorders>
            <w:shd w:val="clear" w:color="auto" w:fill="808080" w:themeFill="background1" w:themeFillShade="80"/>
            <w:hideMark/>
          </w:tcPr>
          <w:p w14:paraId="3D14284F" w14:textId="77777777" w:rsidR="00FA554E" w:rsidRPr="007519D3" w:rsidRDefault="00FA554E" w:rsidP="009B6C9F">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47</w:t>
            </w:r>
          </w:p>
        </w:tc>
        <w:tc>
          <w:tcPr>
            <w:tcW w:w="993" w:type="dxa"/>
            <w:tcBorders>
              <w:top w:val="single" w:sz="4" w:space="0" w:color="auto"/>
              <w:left w:val="nil"/>
              <w:bottom w:val="single" w:sz="4" w:space="0" w:color="auto"/>
              <w:right w:val="single" w:sz="4" w:space="0" w:color="auto"/>
            </w:tcBorders>
            <w:shd w:val="clear" w:color="auto" w:fill="808080" w:themeFill="background1" w:themeFillShade="80"/>
            <w:hideMark/>
          </w:tcPr>
          <w:p w14:paraId="495B2D4C" w14:textId="77777777" w:rsidR="00FA554E" w:rsidRPr="007519D3" w:rsidRDefault="00FA554E" w:rsidP="009B6C9F">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48</w:t>
            </w:r>
          </w:p>
        </w:tc>
        <w:tc>
          <w:tcPr>
            <w:tcW w:w="993" w:type="dxa"/>
            <w:tcBorders>
              <w:top w:val="single" w:sz="4" w:space="0" w:color="auto"/>
              <w:left w:val="nil"/>
              <w:bottom w:val="single" w:sz="4" w:space="0" w:color="auto"/>
              <w:right w:val="single" w:sz="4" w:space="0" w:color="auto"/>
            </w:tcBorders>
            <w:shd w:val="clear" w:color="auto" w:fill="808080" w:themeFill="background1" w:themeFillShade="80"/>
          </w:tcPr>
          <w:p w14:paraId="49E5AB34" w14:textId="77777777" w:rsidR="00FA554E" w:rsidRPr="007519D3" w:rsidRDefault="00FA554E" w:rsidP="009B6C9F">
            <w:pPr>
              <w:jc w:val="right"/>
              <w:rPr>
                <w:b/>
                <w:bCs/>
                <w:color w:val="FFFFFF" w:themeColor="background1"/>
              </w:rPr>
            </w:pPr>
            <w:r w:rsidRPr="007519D3">
              <w:rPr>
                <w:b/>
                <w:bCs/>
                <w:color w:val="FFFFFF" w:themeColor="background1"/>
              </w:rPr>
              <w:t>Total</w:t>
            </w:r>
          </w:p>
        </w:tc>
      </w:tr>
      <w:tr w:rsidR="00FA554E" w:rsidRPr="004E2074" w14:paraId="35DF10BF"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2C2827E2" w14:textId="77777777" w:rsidR="00FA554E" w:rsidRPr="004E2074" w:rsidRDefault="00FA554E" w:rsidP="004024CE">
            <w:r w:rsidRPr="004E2074">
              <w:t>Aurukun</w:t>
            </w:r>
          </w:p>
        </w:tc>
        <w:tc>
          <w:tcPr>
            <w:tcW w:w="992" w:type="dxa"/>
            <w:tcBorders>
              <w:top w:val="nil"/>
              <w:left w:val="nil"/>
              <w:bottom w:val="single" w:sz="4" w:space="0" w:color="auto"/>
              <w:right w:val="single" w:sz="4" w:space="0" w:color="auto"/>
            </w:tcBorders>
            <w:shd w:val="clear" w:color="auto" w:fill="auto"/>
          </w:tcPr>
          <w:p w14:paraId="1B8ECC04" w14:textId="77777777" w:rsidR="00FA554E" w:rsidRPr="004E2074" w:rsidRDefault="00FA554E" w:rsidP="009B6C9F">
            <w:pPr>
              <w:jc w:val="right"/>
            </w:pPr>
            <w:r w:rsidRPr="004E2074">
              <w:t>608</w:t>
            </w:r>
          </w:p>
        </w:tc>
        <w:tc>
          <w:tcPr>
            <w:tcW w:w="992" w:type="dxa"/>
            <w:tcBorders>
              <w:top w:val="nil"/>
              <w:left w:val="nil"/>
              <w:bottom w:val="single" w:sz="4" w:space="0" w:color="auto"/>
              <w:right w:val="single" w:sz="4" w:space="0" w:color="auto"/>
            </w:tcBorders>
            <w:shd w:val="clear" w:color="auto" w:fill="auto"/>
          </w:tcPr>
          <w:p w14:paraId="503570CC" w14:textId="77777777" w:rsidR="00FA554E" w:rsidRPr="004E2074" w:rsidRDefault="00FA554E" w:rsidP="009B6C9F">
            <w:pPr>
              <w:jc w:val="right"/>
            </w:pPr>
            <w:r w:rsidRPr="004E2074">
              <w:t>652</w:t>
            </w:r>
          </w:p>
        </w:tc>
        <w:tc>
          <w:tcPr>
            <w:tcW w:w="992" w:type="dxa"/>
            <w:tcBorders>
              <w:top w:val="nil"/>
              <w:left w:val="nil"/>
              <w:bottom w:val="single" w:sz="4" w:space="0" w:color="auto"/>
              <w:right w:val="single" w:sz="4" w:space="0" w:color="auto"/>
            </w:tcBorders>
            <w:shd w:val="clear" w:color="auto" w:fill="auto"/>
          </w:tcPr>
          <w:p w14:paraId="2D35168E" w14:textId="77777777" w:rsidR="00FA554E" w:rsidRPr="004E2074" w:rsidRDefault="00FA554E" w:rsidP="009B6C9F">
            <w:pPr>
              <w:jc w:val="right"/>
            </w:pPr>
            <w:r w:rsidRPr="004E2074">
              <w:t>460</w:t>
            </w:r>
          </w:p>
        </w:tc>
        <w:tc>
          <w:tcPr>
            <w:tcW w:w="993" w:type="dxa"/>
            <w:tcBorders>
              <w:top w:val="nil"/>
              <w:left w:val="nil"/>
              <w:bottom w:val="single" w:sz="4" w:space="0" w:color="auto"/>
              <w:right w:val="single" w:sz="4" w:space="0" w:color="auto"/>
            </w:tcBorders>
            <w:shd w:val="clear" w:color="auto" w:fill="auto"/>
          </w:tcPr>
          <w:p w14:paraId="68AF1442" w14:textId="77777777" w:rsidR="00FA554E" w:rsidRPr="004E2074" w:rsidRDefault="00FA554E" w:rsidP="009B6C9F">
            <w:pPr>
              <w:jc w:val="right"/>
            </w:pPr>
            <w:r w:rsidRPr="004E2074">
              <w:t>235</w:t>
            </w:r>
          </w:p>
        </w:tc>
        <w:tc>
          <w:tcPr>
            <w:tcW w:w="993" w:type="dxa"/>
            <w:tcBorders>
              <w:top w:val="nil"/>
              <w:left w:val="nil"/>
              <w:bottom w:val="single" w:sz="4" w:space="0" w:color="auto"/>
              <w:right w:val="single" w:sz="4" w:space="0" w:color="auto"/>
            </w:tcBorders>
          </w:tcPr>
          <w:p w14:paraId="1FA91D8B" w14:textId="77777777" w:rsidR="00FA554E" w:rsidRPr="009B6C9F" w:rsidRDefault="00FA554E" w:rsidP="009B6C9F">
            <w:pPr>
              <w:jc w:val="right"/>
              <w:rPr>
                <w:b/>
                <w:bCs/>
              </w:rPr>
            </w:pPr>
            <w:r w:rsidRPr="009B6C9F">
              <w:rPr>
                <w:b/>
                <w:bCs/>
              </w:rPr>
              <w:t>1,955</w:t>
            </w:r>
          </w:p>
        </w:tc>
      </w:tr>
      <w:tr w:rsidR="00FA554E" w:rsidRPr="004E2074" w14:paraId="17CA6237"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49925284" w14:textId="77777777" w:rsidR="00FA554E" w:rsidRPr="004E2074" w:rsidRDefault="00FA554E" w:rsidP="004024CE">
            <w:r w:rsidRPr="004E2074">
              <w:t>Coen</w:t>
            </w:r>
          </w:p>
        </w:tc>
        <w:tc>
          <w:tcPr>
            <w:tcW w:w="992" w:type="dxa"/>
            <w:tcBorders>
              <w:top w:val="nil"/>
              <w:left w:val="nil"/>
              <w:bottom w:val="single" w:sz="4" w:space="0" w:color="auto"/>
              <w:right w:val="single" w:sz="4" w:space="0" w:color="auto"/>
            </w:tcBorders>
            <w:shd w:val="clear" w:color="auto" w:fill="auto"/>
          </w:tcPr>
          <w:p w14:paraId="0D7477B6" w14:textId="77777777" w:rsidR="00FA554E" w:rsidRPr="004E2074" w:rsidRDefault="00FA554E" w:rsidP="009B6C9F">
            <w:pPr>
              <w:jc w:val="right"/>
            </w:pPr>
            <w:r w:rsidRPr="004E2074">
              <w:t>67</w:t>
            </w:r>
          </w:p>
        </w:tc>
        <w:tc>
          <w:tcPr>
            <w:tcW w:w="992" w:type="dxa"/>
            <w:tcBorders>
              <w:top w:val="nil"/>
              <w:left w:val="nil"/>
              <w:bottom w:val="single" w:sz="4" w:space="0" w:color="auto"/>
              <w:right w:val="single" w:sz="4" w:space="0" w:color="auto"/>
            </w:tcBorders>
            <w:shd w:val="clear" w:color="auto" w:fill="auto"/>
          </w:tcPr>
          <w:p w14:paraId="482127DB" w14:textId="77777777" w:rsidR="00FA554E" w:rsidRPr="004E2074" w:rsidRDefault="00FA554E" w:rsidP="009B6C9F">
            <w:pPr>
              <w:jc w:val="right"/>
            </w:pPr>
            <w:r w:rsidRPr="004E2074">
              <w:t>54</w:t>
            </w:r>
          </w:p>
        </w:tc>
        <w:tc>
          <w:tcPr>
            <w:tcW w:w="992" w:type="dxa"/>
            <w:tcBorders>
              <w:top w:val="nil"/>
              <w:left w:val="nil"/>
              <w:bottom w:val="single" w:sz="4" w:space="0" w:color="auto"/>
              <w:right w:val="single" w:sz="4" w:space="0" w:color="auto"/>
            </w:tcBorders>
            <w:shd w:val="clear" w:color="auto" w:fill="auto"/>
          </w:tcPr>
          <w:p w14:paraId="3B02D2E0" w14:textId="77777777" w:rsidR="00FA554E" w:rsidRPr="004E2074" w:rsidRDefault="00FA554E" w:rsidP="009B6C9F">
            <w:pPr>
              <w:jc w:val="right"/>
            </w:pPr>
            <w:r w:rsidRPr="004E2074">
              <w:t>37</w:t>
            </w:r>
          </w:p>
        </w:tc>
        <w:tc>
          <w:tcPr>
            <w:tcW w:w="993" w:type="dxa"/>
            <w:tcBorders>
              <w:top w:val="nil"/>
              <w:left w:val="nil"/>
              <w:bottom w:val="single" w:sz="4" w:space="0" w:color="auto"/>
              <w:right w:val="single" w:sz="4" w:space="0" w:color="auto"/>
            </w:tcBorders>
            <w:shd w:val="clear" w:color="auto" w:fill="auto"/>
          </w:tcPr>
          <w:p w14:paraId="7660BECD" w14:textId="77777777" w:rsidR="00FA554E" w:rsidRPr="004E2074" w:rsidRDefault="00FA554E" w:rsidP="009B6C9F">
            <w:pPr>
              <w:jc w:val="right"/>
            </w:pPr>
            <w:r w:rsidRPr="004E2074">
              <w:t>34</w:t>
            </w:r>
          </w:p>
        </w:tc>
        <w:tc>
          <w:tcPr>
            <w:tcW w:w="993" w:type="dxa"/>
            <w:tcBorders>
              <w:top w:val="nil"/>
              <w:left w:val="nil"/>
              <w:bottom w:val="single" w:sz="4" w:space="0" w:color="auto"/>
              <w:right w:val="single" w:sz="4" w:space="0" w:color="auto"/>
            </w:tcBorders>
          </w:tcPr>
          <w:p w14:paraId="7884C018" w14:textId="77777777" w:rsidR="00FA554E" w:rsidRPr="009B6C9F" w:rsidRDefault="00FA554E" w:rsidP="009B6C9F">
            <w:pPr>
              <w:jc w:val="right"/>
              <w:rPr>
                <w:b/>
                <w:bCs/>
              </w:rPr>
            </w:pPr>
            <w:r w:rsidRPr="009B6C9F">
              <w:rPr>
                <w:b/>
                <w:bCs/>
              </w:rPr>
              <w:t>192</w:t>
            </w:r>
          </w:p>
        </w:tc>
      </w:tr>
      <w:tr w:rsidR="00FA554E" w:rsidRPr="004E2074" w14:paraId="57A6CF89"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4A269772" w14:textId="77777777" w:rsidR="00FA554E" w:rsidRPr="004E2074" w:rsidRDefault="00FA554E" w:rsidP="004024CE">
            <w:r w:rsidRPr="004E2074">
              <w:t>Doomadgee</w:t>
            </w:r>
          </w:p>
        </w:tc>
        <w:tc>
          <w:tcPr>
            <w:tcW w:w="992" w:type="dxa"/>
            <w:tcBorders>
              <w:top w:val="nil"/>
              <w:left w:val="nil"/>
              <w:bottom w:val="single" w:sz="4" w:space="0" w:color="auto"/>
              <w:right w:val="single" w:sz="4" w:space="0" w:color="auto"/>
            </w:tcBorders>
            <w:shd w:val="clear" w:color="auto" w:fill="auto"/>
          </w:tcPr>
          <w:p w14:paraId="458CC47C" w14:textId="77777777" w:rsidR="00FA554E" w:rsidRPr="004E2074" w:rsidRDefault="00FA554E" w:rsidP="009B6C9F">
            <w:pPr>
              <w:jc w:val="right"/>
            </w:pPr>
            <w:r w:rsidRPr="004E2074">
              <w:t>443</w:t>
            </w:r>
          </w:p>
        </w:tc>
        <w:tc>
          <w:tcPr>
            <w:tcW w:w="992" w:type="dxa"/>
            <w:tcBorders>
              <w:top w:val="nil"/>
              <w:left w:val="nil"/>
              <w:bottom w:val="single" w:sz="4" w:space="0" w:color="auto"/>
              <w:right w:val="single" w:sz="4" w:space="0" w:color="auto"/>
            </w:tcBorders>
            <w:shd w:val="clear" w:color="auto" w:fill="auto"/>
          </w:tcPr>
          <w:p w14:paraId="445A9B3E" w14:textId="77777777" w:rsidR="00FA554E" w:rsidRPr="004E2074" w:rsidRDefault="00FA554E" w:rsidP="009B6C9F">
            <w:pPr>
              <w:jc w:val="right"/>
            </w:pPr>
            <w:r w:rsidRPr="004E2074">
              <w:t>391</w:t>
            </w:r>
          </w:p>
        </w:tc>
        <w:tc>
          <w:tcPr>
            <w:tcW w:w="992" w:type="dxa"/>
            <w:tcBorders>
              <w:top w:val="nil"/>
              <w:left w:val="nil"/>
              <w:bottom w:val="single" w:sz="4" w:space="0" w:color="auto"/>
              <w:right w:val="single" w:sz="4" w:space="0" w:color="auto"/>
            </w:tcBorders>
            <w:shd w:val="clear" w:color="auto" w:fill="auto"/>
          </w:tcPr>
          <w:p w14:paraId="63027D53" w14:textId="77777777" w:rsidR="00FA554E" w:rsidRPr="004E2074" w:rsidRDefault="00FA554E" w:rsidP="009B6C9F">
            <w:pPr>
              <w:jc w:val="right"/>
            </w:pPr>
            <w:r w:rsidRPr="004E2074">
              <w:t>467</w:t>
            </w:r>
          </w:p>
        </w:tc>
        <w:tc>
          <w:tcPr>
            <w:tcW w:w="993" w:type="dxa"/>
            <w:tcBorders>
              <w:top w:val="nil"/>
              <w:left w:val="nil"/>
              <w:bottom w:val="single" w:sz="4" w:space="0" w:color="auto"/>
              <w:right w:val="single" w:sz="4" w:space="0" w:color="auto"/>
            </w:tcBorders>
            <w:shd w:val="clear" w:color="auto" w:fill="auto"/>
          </w:tcPr>
          <w:p w14:paraId="718ED741" w14:textId="77777777" w:rsidR="00FA554E" w:rsidRPr="004E2074" w:rsidRDefault="00FA554E" w:rsidP="009B6C9F">
            <w:pPr>
              <w:jc w:val="right"/>
            </w:pPr>
            <w:r w:rsidRPr="004E2074">
              <w:t>394</w:t>
            </w:r>
          </w:p>
        </w:tc>
        <w:tc>
          <w:tcPr>
            <w:tcW w:w="993" w:type="dxa"/>
            <w:tcBorders>
              <w:top w:val="nil"/>
              <w:left w:val="nil"/>
              <w:bottom w:val="single" w:sz="4" w:space="0" w:color="auto"/>
              <w:right w:val="single" w:sz="4" w:space="0" w:color="auto"/>
            </w:tcBorders>
          </w:tcPr>
          <w:p w14:paraId="0FE4CD5B" w14:textId="77777777" w:rsidR="00FA554E" w:rsidRPr="009B6C9F" w:rsidRDefault="00FA554E" w:rsidP="009B6C9F">
            <w:pPr>
              <w:jc w:val="right"/>
              <w:rPr>
                <w:b/>
                <w:bCs/>
              </w:rPr>
            </w:pPr>
            <w:r w:rsidRPr="009B6C9F">
              <w:rPr>
                <w:b/>
                <w:bCs/>
              </w:rPr>
              <w:t>1,695</w:t>
            </w:r>
          </w:p>
        </w:tc>
      </w:tr>
      <w:tr w:rsidR="00FA554E" w:rsidRPr="004E2074" w14:paraId="3A2A7AA5"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35748C71" w14:textId="77777777" w:rsidR="00FA554E" w:rsidRPr="004E2074" w:rsidRDefault="00FA554E" w:rsidP="004024CE">
            <w:r w:rsidRPr="004E2074">
              <w:t>Hope Vale</w:t>
            </w:r>
          </w:p>
        </w:tc>
        <w:tc>
          <w:tcPr>
            <w:tcW w:w="992" w:type="dxa"/>
            <w:tcBorders>
              <w:top w:val="nil"/>
              <w:left w:val="nil"/>
              <w:bottom w:val="single" w:sz="4" w:space="0" w:color="auto"/>
              <w:right w:val="single" w:sz="4" w:space="0" w:color="auto"/>
            </w:tcBorders>
            <w:shd w:val="clear" w:color="auto" w:fill="auto"/>
          </w:tcPr>
          <w:p w14:paraId="533CA470" w14:textId="77777777" w:rsidR="00FA554E" w:rsidRPr="004E2074" w:rsidRDefault="00FA554E" w:rsidP="009B6C9F">
            <w:pPr>
              <w:jc w:val="right"/>
            </w:pPr>
            <w:r w:rsidRPr="004E2074">
              <w:t>270</w:t>
            </w:r>
          </w:p>
        </w:tc>
        <w:tc>
          <w:tcPr>
            <w:tcW w:w="992" w:type="dxa"/>
            <w:tcBorders>
              <w:top w:val="nil"/>
              <w:left w:val="nil"/>
              <w:bottom w:val="single" w:sz="4" w:space="0" w:color="auto"/>
              <w:right w:val="single" w:sz="4" w:space="0" w:color="auto"/>
            </w:tcBorders>
            <w:shd w:val="clear" w:color="auto" w:fill="auto"/>
          </w:tcPr>
          <w:p w14:paraId="587D5146" w14:textId="77777777" w:rsidR="00FA554E" w:rsidRPr="004E2074" w:rsidRDefault="00FA554E" w:rsidP="009B6C9F">
            <w:pPr>
              <w:jc w:val="right"/>
            </w:pPr>
            <w:r w:rsidRPr="004E2074">
              <w:t>269</w:t>
            </w:r>
          </w:p>
        </w:tc>
        <w:tc>
          <w:tcPr>
            <w:tcW w:w="992" w:type="dxa"/>
            <w:tcBorders>
              <w:top w:val="nil"/>
              <w:left w:val="nil"/>
              <w:bottom w:val="single" w:sz="4" w:space="0" w:color="auto"/>
              <w:right w:val="single" w:sz="4" w:space="0" w:color="auto"/>
            </w:tcBorders>
            <w:shd w:val="clear" w:color="auto" w:fill="auto"/>
          </w:tcPr>
          <w:p w14:paraId="5AA3DC8B" w14:textId="77777777" w:rsidR="00FA554E" w:rsidRPr="004E2074" w:rsidRDefault="00FA554E" w:rsidP="009B6C9F">
            <w:pPr>
              <w:jc w:val="right"/>
            </w:pPr>
            <w:r w:rsidRPr="004E2074">
              <w:t>172</w:t>
            </w:r>
          </w:p>
        </w:tc>
        <w:tc>
          <w:tcPr>
            <w:tcW w:w="993" w:type="dxa"/>
            <w:tcBorders>
              <w:top w:val="nil"/>
              <w:left w:val="nil"/>
              <w:bottom w:val="single" w:sz="4" w:space="0" w:color="auto"/>
              <w:right w:val="single" w:sz="4" w:space="0" w:color="auto"/>
            </w:tcBorders>
            <w:shd w:val="clear" w:color="auto" w:fill="auto"/>
          </w:tcPr>
          <w:p w14:paraId="5B50B2D6" w14:textId="77777777" w:rsidR="00FA554E" w:rsidRPr="004E2074" w:rsidRDefault="00FA554E" w:rsidP="009B6C9F">
            <w:pPr>
              <w:jc w:val="right"/>
            </w:pPr>
            <w:r w:rsidRPr="004E2074">
              <w:t>139</w:t>
            </w:r>
          </w:p>
        </w:tc>
        <w:tc>
          <w:tcPr>
            <w:tcW w:w="993" w:type="dxa"/>
            <w:tcBorders>
              <w:top w:val="nil"/>
              <w:left w:val="nil"/>
              <w:bottom w:val="single" w:sz="4" w:space="0" w:color="auto"/>
              <w:right w:val="single" w:sz="4" w:space="0" w:color="auto"/>
            </w:tcBorders>
          </w:tcPr>
          <w:p w14:paraId="41E99CA0" w14:textId="77777777" w:rsidR="00FA554E" w:rsidRPr="009B6C9F" w:rsidRDefault="00FA554E" w:rsidP="009B6C9F">
            <w:pPr>
              <w:jc w:val="right"/>
              <w:rPr>
                <w:b/>
                <w:bCs/>
              </w:rPr>
            </w:pPr>
            <w:r w:rsidRPr="009B6C9F">
              <w:rPr>
                <w:b/>
                <w:bCs/>
              </w:rPr>
              <w:t>850</w:t>
            </w:r>
          </w:p>
        </w:tc>
      </w:tr>
      <w:tr w:rsidR="00FA554E" w:rsidRPr="004E2074" w14:paraId="7611071E"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0AAFE197" w14:textId="77777777" w:rsidR="00FA554E" w:rsidRPr="004E2074" w:rsidRDefault="00FA554E" w:rsidP="004024CE">
            <w:r w:rsidRPr="004E2074">
              <w:t>Mossman Gorge</w:t>
            </w:r>
          </w:p>
        </w:tc>
        <w:tc>
          <w:tcPr>
            <w:tcW w:w="992" w:type="dxa"/>
            <w:tcBorders>
              <w:top w:val="nil"/>
              <w:left w:val="nil"/>
              <w:bottom w:val="single" w:sz="4" w:space="0" w:color="auto"/>
              <w:right w:val="single" w:sz="4" w:space="0" w:color="auto"/>
            </w:tcBorders>
            <w:shd w:val="clear" w:color="auto" w:fill="auto"/>
          </w:tcPr>
          <w:p w14:paraId="186E0293" w14:textId="77777777" w:rsidR="00FA554E" w:rsidRPr="004E2074" w:rsidRDefault="00FA554E" w:rsidP="009B6C9F">
            <w:pPr>
              <w:jc w:val="right"/>
            </w:pPr>
            <w:r w:rsidRPr="004E2074">
              <w:t>69</w:t>
            </w:r>
          </w:p>
        </w:tc>
        <w:tc>
          <w:tcPr>
            <w:tcW w:w="992" w:type="dxa"/>
            <w:tcBorders>
              <w:top w:val="nil"/>
              <w:left w:val="nil"/>
              <w:bottom w:val="single" w:sz="4" w:space="0" w:color="auto"/>
              <w:right w:val="single" w:sz="4" w:space="0" w:color="auto"/>
            </w:tcBorders>
            <w:shd w:val="clear" w:color="auto" w:fill="auto"/>
          </w:tcPr>
          <w:p w14:paraId="4F657507" w14:textId="77777777" w:rsidR="00FA554E" w:rsidRPr="004E2074" w:rsidRDefault="00FA554E" w:rsidP="009B6C9F">
            <w:pPr>
              <w:jc w:val="right"/>
            </w:pPr>
            <w:r w:rsidRPr="004E2074">
              <w:t>60</w:t>
            </w:r>
          </w:p>
        </w:tc>
        <w:tc>
          <w:tcPr>
            <w:tcW w:w="992" w:type="dxa"/>
            <w:tcBorders>
              <w:top w:val="nil"/>
              <w:left w:val="nil"/>
              <w:bottom w:val="single" w:sz="4" w:space="0" w:color="auto"/>
              <w:right w:val="single" w:sz="4" w:space="0" w:color="auto"/>
            </w:tcBorders>
            <w:shd w:val="clear" w:color="auto" w:fill="auto"/>
          </w:tcPr>
          <w:p w14:paraId="02476D28" w14:textId="77777777" w:rsidR="00FA554E" w:rsidRPr="004E2074" w:rsidRDefault="00FA554E" w:rsidP="009B6C9F">
            <w:pPr>
              <w:jc w:val="right"/>
            </w:pPr>
            <w:r w:rsidRPr="004E2074">
              <w:t>85</w:t>
            </w:r>
          </w:p>
        </w:tc>
        <w:tc>
          <w:tcPr>
            <w:tcW w:w="993" w:type="dxa"/>
            <w:tcBorders>
              <w:top w:val="nil"/>
              <w:left w:val="nil"/>
              <w:bottom w:val="single" w:sz="4" w:space="0" w:color="auto"/>
              <w:right w:val="single" w:sz="4" w:space="0" w:color="auto"/>
            </w:tcBorders>
            <w:shd w:val="clear" w:color="auto" w:fill="auto"/>
          </w:tcPr>
          <w:p w14:paraId="09334252" w14:textId="77777777" w:rsidR="00FA554E" w:rsidRPr="004E2074" w:rsidRDefault="00FA554E" w:rsidP="009B6C9F">
            <w:pPr>
              <w:jc w:val="right"/>
            </w:pPr>
            <w:r w:rsidRPr="004E2074">
              <w:t>35</w:t>
            </w:r>
          </w:p>
        </w:tc>
        <w:tc>
          <w:tcPr>
            <w:tcW w:w="993" w:type="dxa"/>
            <w:tcBorders>
              <w:top w:val="nil"/>
              <w:left w:val="nil"/>
              <w:bottom w:val="single" w:sz="4" w:space="0" w:color="auto"/>
              <w:right w:val="single" w:sz="4" w:space="0" w:color="auto"/>
            </w:tcBorders>
          </w:tcPr>
          <w:p w14:paraId="0E83EC68" w14:textId="77777777" w:rsidR="00FA554E" w:rsidRPr="009B6C9F" w:rsidRDefault="00FA554E" w:rsidP="009B6C9F">
            <w:pPr>
              <w:jc w:val="right"/>
              <w:rPr>
                <w:b/>
                <w:bCs/>
              </w:rPr>
            </w:pPr>
            <w:r w:rsidRPr="009B6C9F">
              <w:rPr>
                <w:b/>
                <w:bCs/>
              </w:rPr>
              <w:t>249</w:t>
            </w:r>
          </w:p>
        </w:tc>
      </w:tr>
      <w:tr w:rsidR="00FA554E" w:rsidRPr="004E2074" w14:paraId="39F70AA5" w14:textId="77777777" w:rsidTr="00885D07">
        <w:trPr>
          <w:trHeight w:val="255"/>
        </w:trPr>
        <w:tc>
          <w:tcPr>
            <w:tcW w:w="2694" w:type="dxa"/>
            <w:tcBorders>
              <w:top w:val="nil"/>
              <w:left w:val="single" w:sz="4" w:space="0" w:color="auto"/>
              <w:bottom w:val="single" w:sz="4" w:space="0" w:color="auto"/>
              <w:right w:val="single" w:sz="4" w:space="0" w:color="auto"/>
            </w:tcBorders>
            <w:shd w:val="clear" w:color="auto" w:fill="auto"/>
            <w:noWrap/>
            <w:hideMark/>
          </w:tcPr>
          <w:p w14:paraId="064B0772" w14:textId="77777777" w:rsidR="00FA554E" w:rsidRPr="009B6C9F" w:rsidRDefault="00FA554E" w:rsidP="004024CE">
            <w:pPr>
              <w:rPr>
                <w:b/>
                <w:bCs/>
              </w:rPr>
            </w:pPr>
            <w:r w:rsidRPr="009B6C9F">
              <w:rPr>
                <w:b/>
                <w:bCs/>
              </w:rPr>
              <w:t>Total</w:t>
            </w:r>
          </w:p>
        </w:tc>
        <w:tc>
          <w:tcPr>
            <w:tcW w:w="992" w:type="dxa"/>
            <w:tcBorders>
              <w:top w:val="nil"/>
              <w:left w:val="nil"/>
              <w:bottom w:val="single" w:sz="4" w:space="0" w:color="auto"/>
              <w:right w:val="single" w:sz="4" w:space="0" w:color="auto"/>
            </w:tcBorders>
            <w:shd w:val="clear" w:color="auto" w:fill="auto"/>
            <w:noWrap/>
          </w:tcPr>
          <w:p w14:paraId="07694DC0" w14:textId="77777777" w:rsidR="00FA554E" w:rsidRPr="009B6C9F" w:rsidRDefault="00FA554E" w:rsidP="009B6C9F">
            <w:pPr>
              <w:jc w:val="right"/>
              <w:rPr>
                <w:b/>
                <w:bCs/>
              </w:rPr>
            </w:pPr>
            <w:r w:rsidRPr="009B6C9F">
              <w:rPr>
                <w:b/>
                <w:bCs/>
              </w:rPr>
              <w:t>1,457</w:t>
            </w:r>
          </w:p>
        </w:tc>
        <w:tc>
          <w:tcPr>
            <w:tcW w:w="992" w:type="dxa"/>
            <w:tcBorders>
              <w:top w:val="nil"/>
              <w:left w:val="nil"/>
              <w:bottom w:val="single" w:sz="4" w:space="0" w:color="auto"/>
              <w:right w:val="single" w:sz="4" w:space="0" w:color="auto"/>
            </w:tcBorders>
            <w:shd w:val="clear" w:color="auto" w:fill="auto"/>
            <w:noWrap/>
          </w:tcPr>
          <w:p w14:paraId="6DD86E1A" w14:textId="77777777" w:rsidR="00FA554E" w:rsidRPr="009B6C9F" w:rsidRDefault="00FA554E" w:rsidP="009B6C9F">
            <w:pPr>
              <w:jc w:val="right"/>
              <w:rPr>
                <w:b/>
                <w:bCs/>
              </w:rPr>
            </w:pPr>
            <w:r w:rsidRPr="009B6C9F">
              <w:rPr>
                <w:b/>
                <w:bCs/>
              </w:rPr>
              <w:t>1,426</w:t>
            </w:r>
          </w:p>
        </w:tc>
        <w:tc>
          <w:tcPr>
            <w:tcW w:w="992" w:type="dxa"/>
            <w:tcBorders>
              <w:top w:val="nil"/>
              <w:left w:val="nil"/>
              <w:bottom w:val="single" w:sz="4" w:space="0" w:color="auto"/>
              <w:right w:val="single" w:sz="4" w:space="0" w:color="auto"/>
            </w:tcBorders>
            <w:shd w:val="clear" w:color="auto" w:fill="auto"/>
            <w:noWrap/>
          </w:tcPr>
          <w:p w14:paraId="2304D3DB" w14:textId="77777777" w:rsidR="00FA554E" w:rsidRPr="009B6C9F" w:rsidRDefault="00FA554E" w:rsidP="009B6C9F">
            <w:pPr>
              <w:jc w:val="right"/>
              <w:rPr>
                <w:b/>
                <w:bCs/>
              </w:rPr>
            </w:pPr>
            <w:r w:rsidRPr="009B6C9F">
              <w:rPr>
                <w:b/>
                <w:bCs/>
              </w:rPr>
              <w:t>1,221</w:t>
            </w:r>
          </w:p>
        </w:tc>
        <w:tc>
          <w:tcPr>
            <w:tcW w:w="993" w:type="dxa"/>
            <w:tcBorders>
              <w:top w:val="nil"/>
              <w:left w:val="nil"/>
              <w:bottom w:val="single" w:sz="4" w:space="0" w:color="auto"/>
              <w:right w:val="single" w:sz="4" w:space="0" w:color="auto"/>
            </w:tcBorders>
            <w:shd w:val="clear" w:color="auto" w:fill="auto"/>
            <w:noWrap/>
          </w:tcPr>
          <w:p w14:paraId="0B404E81" w14:textId="77777777" w:rsidR="00FA554E" w:rsidRPr="009B6C9F" w:rsidRDefault="00FA554E" w:rsidP="009B6C9F">
            <w:pPr>
              <w:jc w:val="right"/>
              <w:rPr>
                <w:b/>
                <w:bCs/>
              </w:rPr>
            </w:pPr>
            <w:r w:rsidRPr="009B6C9F">
              <w:rPr>
                <w:b/>
                <w:bCs/>
              </w:rPr>
              <w:t>837</w:t>
            </w:r>
          </w:p>
        </w:tc>
        <w:tc>
          <w:tcPr>
            <w:tcW w:w="993" w:type="dxa"/>
            <w:tcBorders>
              <w:top w:val="nil"/>
              <w:left w:val="nil"/>
              <w:bottom w:val="single" w:sz="4" w:space="0" w:color="auto"/>
              <w:right w:val="single" w:sz="4" w:space="0" w:color="auto"/>
            </w:tcBorders>
          </w:tcPr>
          <w:p w14:paraId="3D106B74" w14:textId="77777777" w:rsidR="00FA554E" w:rsidRPr="009B6C9F" w:rsidRDefault="00FA554E" w:rsidP="009B6C9F">
            <w:pPr>
              <w:jc w:val="right"/>
              <w:rPr>
                <w:b/>
                <w:bCs/>
              </w:rPr>
            </w:pPr>
            <w:r w:rsidRPr="009B6C9F">
              <w:rPr>
                <w:b/>
                <w:bCs/>
              </w:rPr>
              <w:t>4,941</w:t>
            </w:r>
          </w:p>
        </w:tc>
      </w:tr>
    </w:tbl>
    <w:p w14:paraId="55603D0C" w14:textId="77777777" w:rsidR="00FA554E" w:rsidRPr="004E2074" w:rsidRDefault="00FA554E" w:rsidP="004024CE"/>
    <w:p w14:paraId="6812DEC8" w14:textId="77777777" w:rsidR="00FA554E" w:rsidRPr="004E2074" w:rsidRDefault="00FA554E" w:rsidP="004516BE">
      <w:pPr>
        <w:pStyle w:val="Heading3"/>
      </w:pPr>
      <w:r w:rsidRPr="004E2074">
        <w:t>Notices overview</w:t>
      </w:r>
    </w:p>
    <w:p w14:paraId="36F98E4D" w14:textId="13580C72" w:rsidR="00FA554E" w:rsidRPr="004E2074" w:rsidRDefault="00FA554E" w:rsidP="004024CE">
      <w:pPr>
        <w:rPr>
          <w:lang w:val="en-US"/>
        </w:rPr>
      </w:pPr>
      <w:r w:rsidRPr="004E2074">
        <w:rPr>
          <w:lang w:val="en-US"/>
        </w:rPr>
        <w:t xml:space="preserve">Of </w:t>
      </w:r>
      <w:proofErr w:type="gramStart"/>
      <w:r w:rsidRPr="004E2074">
        <w:rPr>
          <w:lang w:val="en-US"/>
        </w:rPr>
        <w:t>particular note</w:t>
      </w:r>
      <w:proofErr w:type="gramEnd"/>
      <w:r w:rsidRPr="004E2074">
        <w:rPr>
          <w:lang w:val="en-US"/>
        </w:rPr>
        <w:t xml:space="preserve"> in the above table is the drop in Magistrates Court notices. This drop is a direct consequence of the COVID-19 pandemic. The Department of Justice and Attorney-General ceased court sittings during quarter 48 leading to a 96.8</w:t>
      </w:r>
      <w:r w:rsidR="00812456">
        <w:rPr>
          <w:lang w:val="en-US"/>
        </w:rPr>
        <w:t xml:space="preserve"> percent</w:t>
      </w:r>
      <w:r w:rsidRPr="004E2074">
        <w:rPr>
          <w:lang w:val="en-US"/>
        </w:rPr>
        <w:t xml:space="preserve"> decrease in notices. Decreases are likewise reflected in </w:t>
      </w:r>
      <w:r w:rsidR="00775B47">
        <w:rPr>
          <w:lang w:val="en-US"/>
        </w:rPr>
        <w:t>D</w:t>
      </w:r>
      <w:r w:rsidRPr="004E2074">
        <w:rPr>
          <w:lang w:val="en-US"/>
        </w:rPr>
        <w:t xml:space="preserve">omestic </w:t>
      </w:r>
      <w:r w:rsidR="00775B47">
        <w:rPr>
          <w:lang w:val="en-US"/>
        </w:rPr>
        <w:t>V</w:t>
      </w:r>
      <w:r w:rsidRPr="004E2074">
        <w:rPr>
          <w:lang w:val="en-US"/>
        </w:rPr>
        <w:t xml:space="preserve">iolence </w:t>
      </w:r>
      <w:r w:rsidR="00775B47">
        <w:rPr>
          <w:lang w:val="en-US"/>
        </w:rPr>
        <w:t>O</w:t>
      </w:r>
      <w:r w:rsidRPr="004E2074">
        <w:rPr>
          <w:lang w:val="en-US"/>
        </w:rPr>
        <w:t xml:space="preserve">rders and </w:t>
      </w:r>
      <w:r w:rsidR="00775B47">
        <w:rPr>
          <w:lang w:val="en-US"/>
        </w:rPr>
        <w:t>B</w:t>
      </w:r>
      <w:r w:rsidRPr="004E2074">
        <w:rPr>
          <w:lang w:val="en-US"/>
        </w:rPr>
        <w:t>reaches.</w:t>
      </w:r>
    </w:p>
    <w:p w14:paraId="1ED4EC2D" w14:textId="24C2646B" w:rsidR="00FA554E" w:rsidRPr="004E2074" w:rsidRDefault="00FA554E" w:rsidP="004024CE">
      <w:pPr>
        <w:rPr>
          <w:lang w:val="en-US"/>
        </w:rPr>
      </w:pPr>
      <w:r w:rsidRPr="004E2074">
        <w:rPr>
          <w:lang w:val="en-US"/>
        </w:rPr>
        <w:t>Similarly, following a</w:t>
      </w:r>
      <w:r w:rsidR="00A12A18">
        <w:rPr>
          <w:lang w:val="en-US"/>
        </w:rPr>
        <w:t>n</w:t>
      </w:r>
      <w:r w:rsidRPr="004E2074">
        <w:rPr>
          <w:lang w:val="en-US"/>
        </w:rPr>
        <w:t xml:space="preserve"> </w:t>
      </w:r>
      <w:r w:rsidR="00B53727">
        <w:rPr>
          <w:lang w:val="en-US"/>
        </w:rPr>
        <w:t>Australian</w:t>
      </w:r>
      <w:r w:rsidR="00B53727" w:rsidRPr="004E2074">
        <w:rPr>
          <w:lang w:val="en-US"/>
        </w:rPr>
        <w:t xml:space="preserve"> </w:t>
      </w:r>
      <w:r w:rsidRPr="004E2074">
        <w:rPr>
          <w:lang w:val="en-US"/>
        </w:rPr>
        <w:t xml:space="preserve">Government directive that penalty action for breaches of tenancy agreements were not to be actioned during the </w:t>
      </w:r>
      <w:r w:rsidR="00675EF0">
        <w:rPr>
          <w:lang w:val="en-US"/>
        </w:rPr>
        <w:t>COVID-19</w:t>
      </w:r>
      <w:r w:rsidRPr="004E2074">
        <w:rPr>
          <w:lang w:val="en-US"/>
        </w:rPr>
        <w:t xml:space="preserve"> pandemic period, nil housing tenancy notices were received by the Commission in quarter 48.</w:t>
      </w:r>
    </w:p>
    <w:p w14:paraId="697549C5" w14:textId="77777777" w:rsidR="00FA554E" w:rsidRPr="004E2074" w:rsidRDefault="00FA554E" w:rsidP="004024CE"/>
    <w:p w14:paraId="539BF916" w14:textId="77777777" w:rsidR="00FA554E" w:rsidRPr="004E2074" w:rsidRDefault="00FA554E" w:rsidP="004024CE"/>
    <w:p w14:paraId="21AF97C3" w14:textId="77777777" w:rsidR="00FA554E" w:rsidRPr="004E2074" w:rsidRDefault="00FA554E" w:rsidP="004024CE">
      <w:pPr>
        <w:sectPr w:rsidR="00FA554E" w:rsidRPr="004E2074" w:rsidSect="00066DE4">
          <w:headerReference w:type="default" r:id="rId10"/>
          <w:footnotePr>
            <w:numRestart w:val="eachSect"/>
          </w:footnotePr>
          <w:pgSz w:w="11906" w:h="16838"/>
          <w:pgMar w:top="2948" w:right="1701" w:bottom="567" w:left="1701" w:header="0" w:footer="567" w:gutter="0"/>
          <w:cols w:space="708"/>
          <w:docGrid w:linePitch="360"/>
        </w:sectPr>
      </w:pPr>
    </w:p>
    <w:bookmarkEnd w:id="1"/>
    <w:p w14:paraId="685DD45A" w14:textId="14125DDE" w:rsidR="00FA554E" w:rsidRPr="004E2074" w:rsidRDefault="00FA554E" w:rsidP="004024CE">
      <w:r w:rsidRPr="004E2074">
        <w:lastRenderedPageBreak/>
        <w:t>From 1 July 2019 to 30 June 2020, 74.7 percent of clients have received more than one notice with 23.2 percent of clients receiving more than five notices. Conversely, 25.3 percent of clients have received only one notice.</w:t>
      </w:r>
      <w:r w:rsidR="00FD60C5">
        <w:t xml:space="preserve"> This is suggestive of the complexity of behaviours experienced by a significant proportion of our clients.</w:t>
      </w:r>
    </w:p>
    <w:p w14:paraId="72A86998" w14:textId="512E9F91" w:rsidR="00FA554E" w:rsidRPr="004516BE" w:rsidRDefault="00FA554E" w:rsidP="004516BE">
      <w:pPr>
        <w:ind w:left="720" w:hanging="720"/>
        <w:rPr>
          <w:rFonts w:ascii="Helvetica" w:hAnsi="Helvetica" w:cs="Helvetica"/>
          <w:b/>
          <w:bCs/>
          <w:sz w:val="17"/>
          <w:szCs w:val="17"/>
          <w:lang w:val="en-US"/>
        </w:rPr>
      </w:pPr>
      <w:r w:rsidRPr="004516BE">
        <w:rPr>
          <w:rFonts w:ascii="Helvetica" w:hAnsi="Helvetica" w:cs="Helvetica"/>
          <w:b/>
          <w:bCs/>
          <w:sz w:val="17"/>
          <w:szCs w:val="17"/>
          <w:lang w:val="en-US"/>
        </w:rPr>
        <w:t xml:space="preserve">Table </w:t>
      </w:r>
      <w:r w:rsidR="00110290">
        <w:rPr>
          <w:rFonts w:ascii="Helvetica" w:hAnsi="Helvetica" w:cs="Helvetica"/>
          <w:b/>
          <w:bCs/>
          <w:sz w:val="17"/>
          <w:szCs w:val="17"/>
          <w:lang w:val="en-US"/>
        </w:rPr>
        <w:t>7</w:t>
      </w:r>
      <w:r w:rsidRPr="004516BE">
        <w:rPr>
          <w:rFonts w:ascii="Helvetica" w:hAnsi="Helvetica" w:cs="Helvetica"/>
          <w:b/>
          <w:bCs/>
          <w:sz w:val="17"/>
          <w:szCs w:val="17"/>
          <w:lang w:val="en-US"/>
        </w:rPr>
        <w:t xml:space="preserve">: FRC clients by number of notices </w:t>
      </w:r>
      <w:r w:rsidR="004516BE">
        <w:rPr>
          <w:rFonts w:ascii="Helvetica" w:hAnsi="Helvetica" w:cs="Helvetica"/>
          <w:b/>
          <w:bCs/>
          <w:sz w:val="17"/>
          <w:szCs w:val="17"/>
          <w:lang w:val="en-US"/>
        </w:rPr>
        <w:br/>
      </w:r>
      <w:r w:rsidRPr="004516BE">
        <w:rPr>
          <w:rFonts w:ascii="Helvetica" w:hAnsi="Helvetica" w:cs="Helvetica"/>
          <w:b/>
          <w:bCs/>
          <w:sz w:val="17"/>
          <w:szCs w:val="17"/>
          <w:lang w:val="en-US"/>
        </w:rPr>
        <w:t>1 July 2019 to 30 June 2020.</w:t>
      </w:r>
    </w:p>
    <w:tbl>
      <w:tblPr>
        <w:tblStyle w:val="TableGrid"/>
        <w:tblW w:w="0" w:type="auto"/>
        <w:tblLook w:val="04A0" w:firstRow="1" w:lastRow="0" w:firstColumn="1" w:lastColumn="0" w:noHBand="0" w:noVBand="1"/>
      </w:tblPr>
      <w:tblGrid>
        <w:gridCol w:w="2972"/>
        <w:gridCol w:w="2050"/>
      </w:tblGrid>
      <w:tr w:rsidR="00FA554E" w:rsidRPr="004E2074" w14:paraId="3C0AE0E7" w14:textId="77777777" w:rsidTr="00061BEF">
        <w:tc>
          <w:tcPr>
            <w:tcW w:w="2972" w:type="dxa"/>
            <w:shd w:val="clear" w:color="auto" w:fill="808080" w:themeFill="background1" w:themeFillShade="80"/>
          </w:tcPr>
          <w:p w14:paraId="41E7D172" w14:textId="2FC38898" w:rsidR="00FA554E" w:rsidRPr="007519D3" w:rsidRDefault="00FA554E" w:rsidP="004024CE">
            <w:pPr>
              <w:rPr>
                <w:rFonts w:eastAsiaTheme="minorHAnsi"/>
                <w:b/>
                <w:bCs/>
                <w:color w:val="FFFFFF" w:themeColor="background1"/>
                <w:lang w:val="en-US" w:eastAsia="en-US"/>
              </w:rPr>
            </w:pPr>
            <w:r w:rsidRPr="007519D3">
              <w:rPr>
                <w:rFonts w:eastAsiaTheme="minorHAnsi"/>
                <w:b/>
                <w:bCs/>
                <w:color w:val="FFFFFF" w:themeColor="background1"/>
                <w:lang w:eastAsia="en-US"/>
              </w:rPr>
              <w:t xml:space="preserve">Number of </w:t>
            </w:r>
            <w:r w:rsidR="008D2038">
              <w:rPr>
                <w:rFonts w:eastAsiaTheme="minorHAnsi"/>
                <w:b/>
                <w:bCs/>
                <w:color w:val="FFFFFF" w:themeColor="background1"/>
                <w:lang w:eastAsia="en-US"/>
              </w:rPr>
              <w:t>n</w:t>
            </w:r>
            <w:r w:rsidRPr="007519D3">
              <w:rPr>
                <w:rFonts w:eastAsiaTheme="minorHAnsi"/>
                <w:b/>
                <w:bCs/>
                <w:color w:val="FFFFFF" w:themeColor="background1"/>
                <w:lang w:eastAsia="en-US"/>
              </w:rPr>
              <w:t xml:space="preserve">otices </w:t>
            </w:r>
            <w:r w:rsidR="008D2038">
              <w:rPr>
                <w:rFonts w:eastAsiaTheme="minorHAnsi"/>
                <w:b/>
                <w:bCs/>
                <w:color w:val="FFFFFF" w:themeColor="background1"/>
                <w:lang w:eastAsia="en-US"/>
              </w:rPr>
              <w:t>r</w:t>
            </w:r>
            <w:r w:rsidRPr="007519D3">
              <w:rPr>
                <w:rFonts w:eastAsiaTheme="minorHAnsi"/>
                <w:b/>
                <w:bCs/>
                <w:color w:val="FFFFFF" w:themeColor="background1"/>
                <w:lang w:eastAsia="en-US"/>
              </w:rPr>
              <w:t>eceived</w:t>
            </w:r>
          </w:p>
        </w:tc>
        <w:tc>
          <w:tcPr>
            <w:tcW w:w="2050" w:type="dxa"/>
            <w:shd w:val="clear" w:color="auto" w:fill="808080" w:themeFill="background1" w:themeFillShade="80"/>
          </w:tcPr>
          <w:p w14:paraId="755AEB89" w14:textId="7B5C0E39" w:rsidR="00FA554E" w:rsidRPr="007519D3" w:rsidRDefault="00FA554E" w:rsidP="004024CE">
            <w:pPr>
              <w:rPr>
                <w:rFonts w:eastAsiaTheme="minorHAnsi"/>
                <w:b/>
                <w:bCs/>
                <w:color w:val="FFFFFF" w:themeColor="background1"/>
                <w:lang w:val="en-US" w:eastAsia="en-US"/>
              </w:rPr>
            </w:pPr>
            <w:r w:rsidRPr="007519D3">
              <w:rPr>
                <w:rFonts w:eastAsiaTheme="minorHAnsi"/>
                <w:b/>
                <w:bCs/>
                <w:color w:val="FFFFFF" w:themeColor="background1"/>
                <w:lang w:eastAsia="en-US"/>
              </w:rPr>
              <w:t xml:space="preserve">Number of </w:t>
            </w:r>
            <w:r w:rsidR="008D2038">
              <w:rPr>
                <w:rFonts w:eastAsiaTheme="minorHAnsi"/>
                <w:b/>
                <w:bCs/>
                <w:color w:val="FFFFFF" w:themeColor="background1"/>
                <w:lang w:eastAsia="en-US"/>
              </w:rPr>
              <w:t>c</w:t>
            </w:r>
            <w:r w:rsidRPr="007519D3">
              <w:rPr>
                <w:rFonts w:eastAsiaTheme="minorHAnsi"/>
                <w:b/>
                <w:bCs/>
                <w:color w:val="FFFFFF" w:themeColor="background1"/>
                <w:lang w:eastAsia="en-US"/>
              </w:rPr>
              <w:t>lients</w:t>
            </w:r>
          </w:p>
        </w:tc>
      </w:tr>
      <w:tr w:rsidR="00FA554E" w:rsidRPr="004E2074" w14:paraId="6378B9D2" w14:textId="77777777" w:rsidTr="00885D07">
        <w:tc>
          <w:tcPr>
            <w:tcW w:w="2972" w:type="dxa"/>
          </w:tcPr>
          <w:p w14:paraId="0862DAC2" w14:textId="77777777" w:rsidR="00FA554E" w:rsidRPr="004E2074" w:rsidRDefault="00FA554E" w:rsidP="004024CE">
            <w:pPr>
              <w:rPr>
                <w:rFonts w:eastAsiaTheme="minorHAnsi"/>
                <w:lang w:val="en-US" w:eastAsia="en-US"/>
              </w:rPr>
            </w:pPr>
            <w:r w:rsidRPr="004E2074">
              <w:rPr>
                <w:rFonts w:eastAsiaTheme="minorHAnsi"/>
                <w:lang w:eastAsia="en-US"/>
              </w:rPr>
              <w:t>1</w:t>
            </w:r>
          </w:p>
        </w:tc>
        <w:tc>
          <w:tcPr>
            <w:tcW w:w="2050" w:type="dxa"/>
          </w:tcPr>
          <w:p w14:paraId="536EF9F9" w14:textId="77777777" w:rsidR="00FA554E" w:rsidRPr="004E2074" w:rsidRDefault="00FA554E" w:rsidP="00BA4FCA">
            <w:pPr>
              <w:jc w:val="right"/>
              <w:rPr>
                <w:rFonts w:eastAsiaTheme="minorHAnsi"/>
                <w:lang w:val="en-US" w:eastAsia="en-US"/>
              </w:rPr>
            </w:pPr>
            <w:r w:rsidRPr="004E2074">
              <w:rPr>
                <w:rFonts w:eastAsiaTheme="minorHAnsi"/>
                <w:lang w:eastAsia="en-US"/>
              </w:rPr>
              <w:t>308</w:t>
            </w:r>
          </w:p>
        </w:tc>
      </w:tr>
      <w:tr w:rsidR="00FA554E" w:rsidRPr="004E2074" w14:paraId="6F269FDC" w14:textId="77777777" w:rsidTr="00885D07">
        <w:tc>
          <w:tcPr>
            <w:tcW w:w="2972" w:type="dxa"/>
          </w:tcPr>
          <w:p w14:paraId="297D8A80" w14:textId="77777777" w:rsidR="00FA554E" w:rsidRPr="004E2074" w:rsidRDefault="00FA554E" w:rsidP="004024CE">
            <w:pPr>
              <w:rPr>
                <w:rFonts w:eastAsiaTheme="minorHAnsi"/>
                <w:lang w:val="en-US" w:eastAsia="en-US"/>
              </w:rPr>
            </w:pPr>
            <w:r w:rsidRPr="004E2074">
              <w:rPr>
                <w:rFonts w:eastAsiaTheme="minorHAnsi"/>
                <w:lang w:eastAsia="en-US"/>
              </w:rPr>
              <w:t>2</w:t>
            </w:r>
          </w:p>
        </w:tc>
        <w:tc>
          <w:tcPr>
            <w:tcW w:w="2050" w:type="dxa"/>
          </w:tcPr>
          <w:p w14:paraId="503728D7" w14:textId="77777777" w:rsidR="00FA554E" w:rsidRPr="004E2074" w:rsidRDefault="00FA554E" w:rsidP="00BA4FCA">
            <w:pPr>
              <w:jc w:val="right"/>
              <w:rPr>
                <w:rFonts w:eastAsiaTheme="minorHAnsi"/>
                <w:lang w:val="en-US" w:eastAsia="en-US"/>
              </w:rPr>
            </w:pPr>
            <w:r w:rsidRPr="004E2074">
              <w:rPr>
                <w:rFonts w:eastAsiaTheme="minorHAnsi"/>
                <w:lang w:eastAsia="en-US"/>
              </w:rPr>
              <w:t>213</w:t>
            </w:r>
          </w:p>
        </w:tc>
      </w:tr>
      <w:tr w:rsidR="00FA554E" w:rsidRPr="004E2074" w14:paraId="6938ED37" w14:textId="77777777" w:rsidTr="00885D07">
        <w:tc>
          <w:tcPr>
            <w:tcW w:w="2972" w:type="dxa"/>
          </w:tcPr>
          <w:p w14:paraId="37CFC05F" w14:textId="77777777" w:rsidR="00FA554E" w:rsidRPr="004E2074" w:rsidRDefault="00FA554E" w:rsidP="004024CE">
            <w:pPr>
              <w:rPr>
                <w:rFonts w:eastAsiaTheme="minorHAnsi"/>
                <w:lang w:val="en-US" w:eastAsia="en-US"/>
              </w:rPr>
            </w:pPr>
            <w:r w:rsidRPr="004E2074">
              <w:rPr>
                <w:rFonts w:eastAsiaTheme="minorHAnsi"/>
                <w:lang w:eastAsia="en-US"/>
              </w:rPr>
              <w:t>3</w:t>
            </w:r>
          </w:p>
        </w:tc>
        <w:tc>
          <w:tcPr>
            <w:tcW w:w="2050" w:type="dxa"/>
          </w:tcPr>
          <w:p w14:paraId="3813C352" w14:textId="77777777" w:rsidR="00FA554E" w:rsidRPr="004E2074" w:rsidRDefault="00FA554E" w:rsidP="00BA4FCA">
            <w:pPr>
              <w:jc w:val="right"/>
              <w:rPr>
                <w:rFonts w:eastAsiaTheme="minorHAnsi"/>
                <w:lang w:val="en-US" w:eastAsia="en-US"/>
              </w:rPr>
            </w:pPr>
            <w:r w:rsidRPr="004E2074">
              <w:rPr>
                <w:rFonts w:eastAsiaTheme="minorHAnsi"/>
                <w:lang w:eastAsia="en-US"/>
              </w:rPr>
              <w:t>173</w:t>
            </w:r>
          </w:p>
        </w:tc>
      </w:tr>
      <w:tr w:rsidR="00FA554E" w:rsidRPr="004E2074" w14:paraId="386ED473" w14:textId="77777777" w:rsidTr="00885D07">
        <w:tc>
          <w:tcPr>
            <w:tcW w:w="2972" w:type="dxa"/>
          </w:tcPr>
          <w:p w14:paraId="47F13B4F" w14:textId="77777777" w:rsidR="00FA554E" w:rsidRPr="004E2074" w:rsidRDefault="00FA554E" w:rsidP="004024CE">
            <w:pPr>
              <w:rPr>
                <w:rFonts w:eastAsiaTheme="minorHAnsi"/>
                <w:lang w:val="en-US" w:eastAsia="en-US"/>
              </w:rPr>
            </w:pPr>
            <w:r w:rsidRPr="004E2074">
              <w:rPr>
                <w:rFonts w:eastAsiaTheme="minorHAnsi"/>
                <w:lang w:eastAsia="en-US"/>
              </w:rPr>
              <w:t>4</w:t>
            </w:r>
          </w:p>
        </w:tc>
        <w:tc>
          <w:tcPr>
            <w:tcW w:w="2050" w:type="dxa"/>
          </w:tcPr>
          <w:p w14:paraId="0C7D27DC" w14:textId="77777777" w:rsidR="00FA554E" w:rsidRPr="004E2074" w:rsidRDefault="00FA554E" w:rsidP="00BA4FCA">
            <w:pPr>
              <w:jc w:val="right"/>
              <w:rPr>
                <w:rFonts w:eastAsiaTheme="minorHAnsi"/>
                <w:lang w:val="en-US" w:eastAsia="en-US"/>
              </w:rPr>
            </w:pPr>
            <w:r w:rsidRPr="004E2074">
              <w:rPr>
                <w:rFonts w:eastAsiaTheme="minorHAnsi"/>
                <w:lang w:eastAsia="en-US"/>
              </w:rPr>
              <w:t>153</w:t>
            </w:r>
          </w:p>
        </w:tc>
      </w:tr>
      <w:tr w:rsidR="00FA554E" w:rsidRPr="004E2074" w14:paraId="3028F652" w14:textId="77777777" w:rsidTr="00885D07">
        <w:tc>
          <w:tcPr>
            <w:tcW w:w="2972" w:type="dxa"/>
          </w:tcPr>
          <w:p w14:paraId="0ED91C18" w14:textId="77777777" w:rsidR="00FA554E" w:rsidRPr="004E2074" w:rsidRDefault="00FA554E" w:rsidP="004024CE">
            <w:pPr>
              <w:rPr>
                <w:rFonts w:eastAsiaTheme="minorHAnsi"/>
                <w:lang w:val="en-US" w:eastAsia="en-US"/>
              </w:rPr>
            </w:pPr>
            <w:r w:rsidRPr="004E2074">
              <w:rPr>
                <w:rFonts w:eastAsiaTheme="minorHAnsi"/>
                <w:lang w:eastAsia="en-US"/>
              </w:rPr>
              <w:t>5</w:t>
            </w:r>
          </w:p>
        </w:tc>
        <w:tc>
          <w:tcPr>
            <w:tcW w:w="2050" w:type="dxa"/>
          </w:tcPr>
          <w:p w14:paraId="3A176FCE" w14:textId="77777777" w:rsidR="00FA554E" w:rsidRPr="004E2074" w:rsidRDefault="00FA554E" w:rsidP="00BA4FCA">
            <w:pPr>
              <w:jc w:val="right"/>
              <w:rPr>
                <w:rFonts w:eastAsiaTheme="minorHAnsi"/>
                <w:lang w:val="en-US" w:eastAsia="en-US"/>
              </w:rPr>
            </w:pPr>
            <w:r w:rsidRPr="004E2074">
              <w:rPr>
                <w:rFonts w:eastAsiaTheme="minorHAnsi"/>
                <w:lang w:eastAsia="en-US"/>
              </w:rPr>
              <w:t>88</w:t>
            </w:r>
          </w:p>
        </w:tc>
      </w:tr>
      <w:tr w:rsidR="00FA554E" w:rsidRPr="004E2074" w14:paraId="67BB5430" w14:textId="77777777" w:rsidTr="00885D07">
        <w:tc>
          <w:tcPr>
            <w:tcW w:w="2972" w:type="dxa"/>
          </w:tcPr>
          <w:p w14:paraId="2E7E8261" w14:textId="77777777" w:rsidR="00FA554E" w:rsidRPr="004E2074" w:rsidRDefault="00FA554E" w:rsidP="004024CE">
            <w:pPr>
              <w:rPr>
                <w:rFonts w:eastAsiaTheme="minorHAnsi"/>
                <w:lang w:val="en-US" w:eastAsia="en-US"/>
              </w:rPr>
            </w:pPr>
            <w:r w:rsidRPr="004E2074">
              <w:rPr>
                <w:rFonts w:eastAsiaTheme="minorHAnsi"/>
                <w:lang w:eastAsia="en-US"/>
              </w:rPr>
              <w:t>&gt;5</w:t>
            </w:r>
          </w:p>
        </w:tc>
        <w:tc>
          <w:tcPr>
            <w:tcW w:w="2050" w:type="dxa"/>
          </w:tcPr>
          <w:p w14:paraId="465C8DDE" w14:textId="77777777" w:rsidR="00FA554E" w:rsidRPr="004E2074" w:rsidRDefault="00FA554E" w:rsidP="00BA4FCA">
            <w:pPr>
              <w:jc w:val="right"/>
              <w:rPr>
                <w:rFonts w:eastAsiaTheme="minorHAnsi"/>
                <w:lang w:val="en-US" w:eastAsia="en-US"/>
              </w:rPr>
            </w:pPr>
            <w:r w:rsidRPr="004E2074">
              <w:rPr>
                <w:rFonts w:eastAsiaTheme="minorHAnsi"/>
                <w:lang w:eastAsia="en-US"/>
              </w:rPr>
              <w:t>282</w:t>
            </w:r>
          </w:p>
        </w:tc>
      </w:tr>
      <w:tr w:rsidR="00FA554E" w:rsidRPr="004E2074" w14:paraId="2018D01F" w14:textId="77777777" w:rsidTr="00885D07">
        <w:tc>
          <w:tcPr>
            <w:tcW w:w="2972" w:type="dxa"/>
          </w:tcPr>
          <w:p w14:paraId="1899ADC6" w14:textId="159AAD33" w:rsidR="00FA554E" w:rsidRPr="00554C37" w:rsidRDefault="00991FEA" w:rsidP="004024CE">
            <w:pPr>
              <w:rPr>
                <w:rFonts w:eastAsiaTheme="minorHAnsi"/>
                <w:b/>
                <w:bCs/>
                <w:lang w:val="en-US" w:eastAsia="en-US"/>
              </w:rPr>
            </w:pPr>
            <w:r>
              <w:rPr>
                <w:rFonts w:eastAsiaTheme="minorHAnsi"/>
                <w:b/>
                <w:bCs/>
                <w:lang w:eastAsia="en-US"/>
              </w:rPr>
              <w:t>Total</w:t>
            </w:r>
          </w:p>
        </w:tc>
        <w:tc>
          <w:tcPr>
            <w:tcW w:w="2050" w:type="dxa"/>
          </w:tcPr>
          <w:p w14:paraId="5AAC53D4" w14:textId="77777777" w:rsidR="00FA554E" w:rsidRPr="00554C37" w:rsidRDefault="00FA554E" w:rsidP="00BA4FCA">
            <w:pPr>
              <w:jc w:val="right"/>
              <w:rPr>
                <w:rFonts w:eastAsiaTheme="minorHAnsi"/>
                <w:b/>
                <w:bCs/>
                <w:lang w:val="en-US" w:eastAsia="en-US"/>
              </w:rPr>
            </w:pPr>
            <w:r w:rsidRPr="00554C37">
              <w:rPr>
                <w:rFonts w:eastAsiaTheme="minorHAnsi"/>
                <w:b/>
                <w:bCs/>
                <w:lang w:eastAsia="en-US"/>
              </w:rPr>
              <w:t>1,217</w:t>
            </w:r>
          </w:p>
        </w:tc>
      </w:tr>
    </w:tbl>
    <w:p w14:paraId="59957A83" w14:textId="77777777" w:rsidR="00901E4A" w:rsidRPr="00901E4A" w:rsidRDefault="00901E4A" w:rsidP="004024CE"/>
    <w:p w14:paraId="6C941CCE" w14:textId="2AEBC81A" w:rsidR="00FA554E" w:rsidRDefault="00FA554E" w:rsidP="004516BE">
      <w:pPr>
        <w:pStyle w:val="Heading3"/>
      </w:pPr>
      <w:r w:rsidRPr="004E2074">
        <w:t>Conferences</w:t>
      </w:r>
    </w:p>
    <w:p w14:paraId="326857ED" w14:textId="29A43465" w:rsidR="00F057D5" w:rsidRPr="00F057D5" w:rsidRDefault="00F057D5" w:rsidP="00F057D5">
      <w:r w:rsidRPr="004E2074">
        <w:t>From 1 July 2019 to 30 June 2020</w:t>
      </w:r>
      <w:r w:rsidR="00081DC1">
        <w:t>,</w:t>
      </w:r>
      <w:r w:rsidRPr="004E2074">
        <w:t xml:space="preserve"> a total of 2,228 conferences were held relating to 811 clients with 59.2 percent of conferences attended.</w:t>
      </w:r>
    </w:p>
    <w:p w14:paraId="76B896DC" w14:textId="628975EB" w:rsidR="00FA554E" w:rsidRPr="009B6C9F" w:rsidRDefault="00FA554E" w:rsidP="009B6C9F">
      <w:pPr>
        <w:ind w:left="720" w:hanging="720"/>
        <w:rPr>
          <w:rFonts w:ascii="Helvetica" w:hAnsi="Helvetica" w:cs="Helvetica"/>
          <w:b/>
          <w:bCs/>
          <w:sz w:val="17"/>
          <w:szCs w:val="17"/>
          <w:lang w:val="en-US"/>
        </w:rPr>
      </w:pPr>
      <w:r w:rsidRPr="009B6C9F">
        <w:rPr>
          <w:rFonts w:ascii="Helvetica" w:hAnsi="Helvetica" w:cs="Helvetica"/>
          <w:b/>
          <w:bCs/>
          <w:sz w:val="17"/>
          <w:szCs w:val="17"/>
          <w:lang w:val="en-US"/>
        </w:rPr>
        <w:t xml:space="preserve">Table </w:t>
      </w:r>
      <w:r w:rsidR="00110290">
        <w:rPr>
          <w:rFonts w:ascii="Helvetica" w:hAnsi="Helvetica" w:cs="Helvetica"/>
          <w:b/>
          <w:bCs/>
          <w:sz w:val="17"/>
          <w:szCs w:val="17"/>
          <w:lang w:val="en-US"/>
        </w:rPr>
        <w:t>8</w:t>
      </w:r>
      <w:r w:rsidRPr="009B6C9F">
        <w:rPr>
          <w:rFonts w:ascii="Helvetica" w:hAnsi="Helvetica" w:cs="Helvetica"/>
          <w:b/>
          <w:bCs/>
          <w:sz w:val="17"/>
          <w:szCs w:val="17"/>
          <w:lang w:val="en-US"/>
        </w:rPr>
        <w:t>: Conferences by community and quarter</w:t>
      </w:r>
      <w:r w:rsidRPr="009B6C9F">
        <w:rPr>
          <w:rFonts w:ascii="Helvetica" w:hAnsi="Helvetica" w:cs="Helvetica"/>
          <w:b/>
          <w:bCs/>
          <w:sz w:val="17"/>
          <w:szCs w:val="17"/>
          <w:lang w:val="en-US"/>
        </w:rPr>
        <w:br/>
        <w:t>1 July 2019 to 30 June 2020.</w:t>
      </w:r>
    </w:p>
    <w:tbl>
      <w:tblPr>
        <w:tblW w:w="5013" w:type="dxa"/>
        <w:tblLayout w:type="fixed"/>
        <w:tblLook w:val="04A0" w:firstRow="1" w:lastRow="0" w:firstColumn="1" w:lastColumn="0" w:noHBand="0" w:noVBand="1"/>
      </w:tblPr>
      <w:tblGrid>
        <w:gridCol w:w="1838"/>
        <w:gridCol w:w="793"/>
        <w:gridCol w:w="794"/>
        <w:gridCol w:w="794"/>
        <w:gridCol w:w="794"/>
      </w:tblGrid>
      <w:tr w:rsidR="00FA554E" w:rsidRPr="004E2074" w14:paraId="28619BFC" w14:textId="77777777" w:rsidTr="00061BEF">
        <w:trPr>
          <w:trHeight w:val="51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22807FF1" w14:textId="77777777" w:rsidR="00FA554E" w:rsidRPr="007519D3" w:rsidRDefault="00FA554E" w:rsidP="004024CE">
            <w:pPr>
              <w:rPr>
                <w:b/>
                <w:bCs/>
                <w:color w:val="FFFFFF" w:themeColor="background1"/>
              </w:rPr>
            </w:pPr>
            <w:r w:rsidRPr="007519D3">
              <w:rPr>
                <w:b/>
                <w:bCs/>
                <w:color w:val="FFFFFF" w:themeColor="background1"/>
              </w:rPr>
              <w:t>Conferences</w:t>
            </w:r>
          </w:p>
        </w:tc>
        <w:tc>
          <w:tcPr>
            <w:tcW w:w="793" w:type="dxa"/>
            <w:tcBorders>
              <w:top w:val="single" w:sz="4" w:space="0" w:color="auto"/>
              <w:left w:val="nil"/>
              <w:bottom w:val="single" w:sz="4" w:space="0" w:color="auto"/>
              <w:right w:val="single" w:sz="4" w:space="0" w:color="auto"/>
            </w:tcBorders>
            <w:shd w:val="clear" w:color="auto" w:fill="808080" w:themeFill="background1" w:themeFillShade="80"/>
            <w:hideMark/>
          </w:tcPr>
          <w:p w14:paraId="36B90A82"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45</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73D4DB6A"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46</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47F26892"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47</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39A274A4"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48</w:t>
            </w:r>
          </w:p>
        </w:tc>
      </w:tr>
      <w:tr w:rsidR="00FA554E" w:rsidRPr="004E2074" w14:paraId="7E86018B"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3A9D54F" w14:textId="77777777" w:rsidR="00FA554E" w:rsidRPr="004E2074" w:rsidRDefault="00FA554E" w:rsidP="004024CE">
            <w:r w:rsidRPr="004E2074">
              <w:t>Aurukun</w:t>
            </w:r>
          </w:p>
        </w:tc>
        <w:tc>
          <w:tcPr>
            <w:tcW w:w="793" w:type="dxa"/>
            <w:tcBorders>
              <w:top w:val="nil"/>
              <w:left w:val="nil"/>
              <w:bottom w:val="single" w:sz="4" w:space="0" w:color="auto"/>
              <w:right w:val="single" w:sz="4" w:space="0" w:color="auto"/>
            </w:tcBorders>
            <w:shd w:val="clear" w:color="auto" w:fill="auto"/>
            <w:noWrap/>
          </w:tcPr>
          <w:p w14:paraId="65690B78" w14:textId="77777777" w:rsidR="00FA554E" w:rsidRPr="004E2074" w:rsidRDefault="00FA554E" w:rsidP="00BA4FCA">
            <w:pPr>
              <w:jc w:val="right"/>
            </w:pPr>
            <w:r w:rsidRPr="004E2074">
              <w:t>239</w:t>
            </w:r>
          </w:p>
        </w:tc>
        <w:tc>
          <w:tcPr>
            <w:tcW w:w="794" w:type="dxa"/>
            <w:tcBorders>
              <w:top w:val="nil"/>
              <w:left w:val="nil"/>
              <w:bottom w:val="single" w:sz="4" w:space="0" w:color="auto"/>
              <w:right w:val="single" w:sz="4" w:space="0" w:color="auto"/>
            </w:tcBorders>
            <w:shd w:val="clear" w:color="auto" w:fill="auto"/>
            <w:noWrap/>
          </w:tcPr>
          <w:p w14:paraId="09E9D749" w14:textId="77777777" w:rsidR="00FA554E" w:rsidRPr="004E2074" w:rsidRDefault="00FA554E" w:rsidP="00BA4FCA">
            <w:pPr>
              <w:jc w:val="right"/>
            </w:pPr>
            <w:r w:rsidRPr="004E2074">
              <w:t>320</w:t>
            </w:r>
          </w:p>
        </w:tc>
        <w:tc>
          <w:tcPr>
            <w:tcW w:w="794" w:type="dxa"/>
            <w:tcBorders>
              <w:top w:val="nil"/>
              <w:left w:val="nil"/>
              <w:bottom w:val="single" w:sz="4" w:space="0" w:color="auto"/>
              <w:right w:val="single" w:sz="4" w:space="0" w:color="auto"/>
            </w:tcBorders>
            <w:shd w:val="clear" w:color="auto" w:fill="auto"/>
            <w:noWrap/>
          </w:tcPr>
          <w:p w14:paraId="6AF4B314" w14:textId="77777777" w:rsidR="00FA554E" w:rsidRPr="004E2074" w:rsidRDefault="00FA554E" w:rsidP="00BA4FCA">
            <w:pPr>
              <w:jc w:val="right"/>
            </w:pPr>
            <w:r w:rsidRPr="004E2074">
              <w:t>215</w:t>
            </w:r>
          </w:p>
        </w:tc>
        <w:tc>
          <w:tcPr>
            <w:tcW w:w="794" w:type="dxa"/>
            <w:tcBorders>
              <w:top w:val="nil"/>
              <w:left w:val="nil"/>
              <w:bottom w:val="single" w:sz="4" w:space="0" w:color="auto"/>
              <w:right w:val="single" w:sz="4" w:space="0" w:color="auto"/>
            </w:tcBorders>
            <w:shd w:val="clear" w:color="auto" w:fill="auto"/>
            <w:noWrap/>
          </w:tcPr>
          <w:p w14:paraId="488702DF" w14:textId="77777777" w:rsidR="00FA554E" w:rsidRPr="004E2074" w:rsidRDefault="00FA554E" w:rsidP="00BA4FCA">
            <w:pPr>
              <w:jc w:val="right"/>
            </w:pPr>
            <w:r w:rsidRPr="004E2074">
              <w:t>163</w:t>
            </w:r>
          </w:p>
        </w:tc>
      </w:tr>
      <w:tr w:rsidR="00FA554E" w:rsidRPr="004E2074" w14:paraId="68278855"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75F63E35" w14:textId="77777777" w:rsidR="00FA554E" w:rsidRPr="004E2074" w:rsidRDefault="00FA554E" w:rsidP="004024CE">
            <w:r w:rsidRPr="004E2074">
              <w:t>Coen</w:t>
            </w:r>
          </w:p>
        </w:tc>
        <w:tc>
          <w:tcPr>
            <w:tcW w:w="793" w:type="dxa"/>
            <w:tcBorders>
              <w:top w:val="nil"/>
              <w:left w:val="nil"/>
              <w:bottom w:val="single" w:sz="4" w:space="0" w:color="auto"/>
              <w:right w:val="single" w:sz="4" w:space="0" w:color="auto"/>
            </w:tcBorders>
            <w:shd w:val="clear" w:color="auto" w:fill="auto"/>
            <w:noWrap/>
          </w:tcPr>
          <w:p w14:paraId="02BD7C41" w14:textId="77777777" w:rsidR="00FA554E" w:rsidRPr="004E2074" w:rsidRDefault="00FA554E" w:rsidP="00BA4FCA">
            <w:pPr>
              <w:jc w:val="right"/>
            </w:pPr>
            <w:r w:rsidRPr="004E2074">
              <w:t>26</w:t>
            </w:r>
          </w:p>
        </w:tc>
        <w:tc>
          <w:tcPr>
            <w:tcW w:w="794" w:type="dxa"/>
            <w:tcBorders>
              <w:top w:val="nil"/>
              <w:left w:val="nil"/>
              <w:bottom w:val="single" w:sz="4" w:space="0" w:color="auto"/>
              <w:right w:val="single" w:sz="4" w:space="0" w:color="auto"/>
            </w:tcBorders>
            <w:shd w:val="clear" w:color="auto" w:fill="auto"/>
            <w:noWrap/>
          </w:tcPr>
          <w:p w14:paraId="3A548CF9" w14:textId="77777777" w:rsidR="00FA554E" w:rsidRPr="004E2074" w:rsidRDefault="00FA554E" w:rsidP="00BA4FCA">
            <w:pPr>
              <w:jc w:val="right"/>
            </w:pPr>
            <w:r w:rsidRPr="004E2074">
              <w:t>13</w:t>
            </w:r>
          </w:p>
        </w:tc>
        <w:tc>
          <w:tcPr>
            <w:tcW w:w="794" w:type="dxa"/>
            <w:tcBorders>
              <w:top w:val="nil"/>
              <w:left w:val="nil"/>
              <w:bottom w:val="single" w:sz="4" w:space="0" w:color="auto"/>
              <w:right w:val="single" w:sz="4" w:space="0" w:color="auto"/>
            </w:tcBorders>
            <w:shd w:val="clear" w:color="auto" w:fill="auto"/>
            <w:noWrap/>
          </w:tcPr>
          <w:p w14:paraId="58B1119D" w14:textId="77777777" w:rsidR="00FA554E" w:rsidRPr="004E2074" w:rsidRDefault="00FA554E" w:rsidP="00BA4FCA">
            <w:pPr>
              <w:jc w:val="right"/>
            </w:pPr>
            <w:r w:rsidRPr="004E2074">
              <w:t>12</w:t>
            </w:r>
          </w:p>
        </w:tc>
        <w:tc>
          <w:tcPr>
            <w:tcW w:w="794" w:type="dxa"/>
            <w:tcBorders>
              <w:top w:val="nil"/>
              <w:left w:val="nil"/>
              <w:bottom w:val="single" w:sz="4" w:space="0" w:color="auto"/>
              <w:right w:val="single" w:sz="4" w:space="0" w:color="auto"/>
            </w:tcBorders>
            <w:shd w:val="clear" w:color="auto" w:fill="auto"/>
            <w:noWrap/>
          </w:tcPr>
          <w:p w14:paraId="1BFD86C2" w14:textId="77777777" w:rsidR="00FA554E" w:rsidRPr="004E2074" w:rsidRDefault="00FA554E" w:rsidP="00BA4FCA">
            <w:pPr>
              <w:jc w:val="right"/>
            </w:pPr>
            <w:r w:rsidRPr="004E2074">
              <w:t>34</w:t>
            </w:r>
          </w:p>
        </w:tc>
      </w:tr>
      <w:tr w:rsidR="00FA554E" w:rsidRPr="004E2074" w14:paraId="59B3C53C"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FA60623" w14:textId="77777777" w:rsidR="00FA554E" w:rsidRPr="004E2074" w:rsidRDefault="00FA554E" w:rsidP="004024CE">
            <w:r w:rsidRPr="004E2074">
              <w:t>Doomadgee</w:t>
            </w:r>
          </w:p>
        </w:tc>
        <w:tc>
          <w:tcPr>
            <w:tcW w:w="793" w:type="dxa"/>
            <w:tcBorders>
              <w:top w:val="nil"/>
              <w:left w:val="nil"/>
              <w:bottom w:val="single" w:sz="4" w:space="0" w:color="auto"/>
              <w:right w:val="single" w:sz="4" w:space="0" w:color="auto"/>
            </w:tcBorders>
            <w:shd w:val="clear" w:color="auto" w:fill="auto"/>
            <w:noWrap/>
          </w:tcPr>
          <w:p w14:paraId="2F463DB7" w14:textId="77777777" w:rsidR="00FA554E" w:rsidRPr="004E2074" w:rsidRDefault="00FA554E" w:rsidP="00BA4FCA">
            <w:pPr>
              <w:jc w:val="right"/>
            </w:pPr>
            <w:r w:rsidRPr="004E2074">
              <w:t>236</w:t>
            </w:r>
          </w:p>
        </w:tc>
        <w:tc>
          <w:tcPr>
            <w:tcW w:w="794" w:type="dxa"/>
            <w:tcBorders>
              <w:top w:val="nil"/>
              <w:left w:val="nil"/>
              <w:bottom w:val="single" w:sz="4" w:space="0" w:color="auto"/>
              <w:right w:val="single" w:sz="4" w:space="0" w:color="auto"/>
            </w:tcBorders>
            <w:shd w:val="clear" w:color="auto" w:fill="auto"/>
            <w:noWrap/>
          </w:tcPr>
          <w:p w14:paraId="34BA5685" w14:textId="77777777" w:rsidR="00FA554E" w:rsidRPr="004E2074" w:rsidRDefault="00FA554E" w:rsidP="00BA4FCA">
            <w:pPr>
              <w:jc w:val="right"/>
            </w:pPr>
            <w:r w:rsidRPr="004E2074">
              <w:t>279</w:t>
            </w:r>
          </w:p>
        </w:tc>
        <w:tc>
          <w:tcPr>
            <w:tcW w:w="794" w:type="dxa"/>
            <w:tcBorders>
              <w:top w:val="nil"/>
              <w:left w:val="nil"/>
              <w:bottom w:val="single" w:sz="4" w:space="0" w:color="auto"/>
              <w:right w:val="single" w:sz="4" w:space="0" w:color="auto"/>
            </w:tcBorders>
            <w:shd w:val="clear" w:color="auto" w:fill="auto"/>
            <w:noWrap/>
          </w:tcPr>
          <w:p w14:paraId="6B95F944" w14:textId="77777777" w:rsidR="00FA554E" w:rsidRPr="004E2074" w:rsidRDefault="00FA554E" w:rsidP="00BA4FCA">
            <w:pPr>
              <w:jc w:val="right"/>
            </w:pPr>
            <w:r w:rsidRPr="004E2074">
              <w:t>106</w:t>
            </w:r>
          </w:p>
        </w:tc>
        <w:tc>
          <w:tcPr>
            <w:tcW w:w="794" w:type="dxa"/>
            <w:tcBorders>
              <w:top w:val="nil"/>
              <w:left w:val="nil"/>
              <w:bottom w:val="single" w:sz="4" w:space="0" w:color="auto"/>
              <w:right w:val="single" w:sz="4" w:space="0" w:color="auto"/>
            </w:tcBorders>
            <w:shd w:val="clear" w:color="auto" w:fill="auto"/>
            <w:noWrap/>
          </w:tcPr>
          <w:p w14:paraId="73889472" w14:textId="77777777" w:rsidR="00FA554E" w:rsidRPr="004E2074" w:rsidRDefault="00FA554E" w:rsidP="00BA4FCA">
            <w:pPr>
              <w:jc w:val="right"/>
            </w:pPr>
            <w:r w:rsidRPr="004E2074">
              <w:t>129</w:t>
            </w:r>
          </w:p>
        </w:tc>
      </w:tr>
      <w:tr w:rsidR="00FA554E" w:rsidRPr="004E2074" w14:paraId="08A3C193"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0A27752" w14:textId="77777777" w:rsidR="00FA554E" w:rsidRPr="004E2074" w:rsidRDefault="00FA554E" w:rsidP="004024CE">
            <w:r w:rsidRPr="004E2074">
              <w:t>Hope Vale</w:t>
            </w:r>
          </w:p>
        </w:tc>
        <w:tc>
          <w:tcPr>
            <w:tcW w:w="793" w:type="dxa"/>
            <w:tcBorders>
              <w:top w:val="nil"/>
              <w:left w:val="nil"/>
              <w:bottom w:val="single" w:sz="4" w:space="0" w:color="auto"/>
              <w:right w:val="single" w:sz="4" w:space="0" w:color="auto"/>
            </w:tcBorders>
            <w:shd w:val="clear" w:color="auto" w:fill="auto"/>
            <w:noWrap/>
          </w:tcPr>
          <w:p w14:paraId="53C86D8A" w14:textId="77777777" w:rsidR="00FA554E" w:rsidRPr="004E2074" w:rsidRDefault="00FA554E" w:rsidP="00BA4FCA">
            <w:pPr>
              <w:jc w:val="right"/>
            </w:pPr>
            <w:r w:rsidRPr="004E2074">
              <w:t>90</w:t>
            </w:r>
          </w:p>
        </w:tc>
        <w:tc>
          <w:tcPr>
            <w:tcW w:w="794" w:type="dxa"/>
            <w:tcBorders>
              <w:top w:val="nil"/>
              <w:left w:val="nil"/>
              <w:bottom w:val="single" w:sz="4" w:space="0" w:color="auto"/>
              <w:right w:val="single" w:sz="4" w:space="0" w:color="auto"/>
            </w:tcBorders>
            <w:shd w:val="clear" w:color="auto" w:fill="auto"/>
            <w:noWrap/>
          </w:tcPr>
          <w:p w14:paraId="4B1F1E6D" w14:textId="77777777" w:rsidR="00FA554E" w:rsidRPr="004E2074" w:rsidRDefault="00FA554E" w:rsidP="00BA4FCA">
            <w:pPr>
              <w:jc w:val="right"/>
            </w:pPr>
            <w:r w:rsidRPr="004E2074">
              <w:t>88</w:t>
            </w:r>
          </w:p>
        </w:tc>
        <w:tc>
          <w:tcPr>
            <w:tcW w:w="794" w:type="dxa"/>
            <w:tcBorders>
              <w:top w:val="nil"/>
              <w:left w:val="nil"/>
              <w:bottom w:val="single" w:sz="4" w:space="0" w:color="auto"/>
              <w:right w:val="single" w:sz="4" w:space="0" w:color="auto"/>
            </w:tcBorders>
            <w:shd w:val="clear" w:color="auto" w:fill="auto"/>
            <w:noWrap/>
          </w:tcPr>
          <w:p w14:paraId="03DF0688" w14:textId="77777777" w:rsidR="00FA554E" w:rsidRPr="004E2074" w:rsidRDefault="00FA554E" w:rsidP="00BA4FCA">
            <w:pPr>
              <w:jc w:val="right"/>
            </w:pPr>
            <w:r w:rsidRPr="004E2074">
              <w:t>59</w:t>
            </w:r>
          </w:p>
        </w:tc>
        <w:tc>
          <w:tcPr>
            <w:tcW w:w="794" w:type="dxa"/>
            <w:tcBorders>
              <w:top w:val="nil"/>
              <w:left w:val="nil"/>
              <w:bottom w:val="single" w:sz="4" w:space="0" w:color="auto"/>
              <w:right w:val="single" w:sz="4" w:space="0" w:color="auto"/>
            </w:tcBorders>
            <w:shd w:val="clear" w:color="auto" w:fill="auto"/>
            <w:noWrap/>
          </w:tcPr>
          <w:p w14:paraId="1E0A3519" w14:textId="77777777" w:rsidR="00FA554E" w:rsidRPr="004E2074" w:rsidRDefault="00FA554E" w:rsidP="00BA4FCA">
            <w:pPr>
              <w:jc w:val="right"/>
            </w:pPr>
            <w:r w:rsidRPr="004E2074">
              <w:t>71</w:t>
            </w:r>
          </w:p>
        </w:tc>
      </w:tr>
      <w:tr w:rsidR="00FA554E" w:rsidRPr="004E2074" w14:paraId="2B272998"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tcPr>
          <w:p w14:paraId="0D45CE71" w14:textId="77777777" w:rsidR="00FA554E" w:rsidRPr="004E2074" w:rsidRDefault="00FA554E" w:rsidP="004024CE">
            <w:r w:rsidRPr="004E2074">
              <w:t>Mossman Gorge</w:t>
            </w:r>
          </w:p>
        </w:tc>
        <w:tc>
          <w:tcPr>
            <w:tcW w:w="793" w:type="dxa"/>
            <w:tcBorders>
              <w:top w:val="nil"/>
              <w:left w:val="nil"/>
              <w:bottom w:val="single" w:sz="4" w:space="0" w:color="auto"/>
              <w:right w:val="single" w:sz="4" w:space="0" w:color="auto"/>
            </w:tcBorders>
            <w:shd w:val="clear" w:color="auto" w:fill="auto"/>
            <w:noWrap/>
          </w:tcPr>
          <w:p w14:paraId="4A0D74B4" w14:textId="77777777" w:rsidR="00FA554E" w:rsidRPr="004E2074" w:rsidRDefault="00FA554E" w:rsidP="00BA4FCA">
            <w:pPr>
              <w:jc w:val="right"/>
            </w:pPr>
            <w:r w:rsidRPr="004E2074">
              <w:t>33</w:t>
            </w:r>
          </w:p>
        </w:tc>
        <w:tc>
          <w:tcPr>
            <w:tcW w:w="794" w:type="dxa"/>
            <w:tcBorders>
              <w:top w:val="nil"/>
              <w:left w:val="nil"/>
              <w:bottom w:val="single" w:sz="4" w:space="0" w:color="auto"/>
              <w:right w:val="single" w:sz="4" w:space="0" w:color="auto"/>
            </w:tcBorders>
            <w:shd w:val="clear" w:color="auto" w:fill="auto"/>
            <w:noWrap/>
          </w:tcPr>
          <w:p w14:paraId="01430B51" w14:textId="77777777" w:rsidR="00FA554E" w:rsidRPr="004E2074" w:rsidRDefault="00FA554E" w:rsidP="00BA4FCA">
            <w:pPr>
              <w:jc w:val="right"/>
            </w:pPr>
            <w:r w:rsidRPr="004E2074">
              <w:t>41</w:t>
            </w:r>
          </w:p>
        </w:tc>
        <w:tc>
          <w:tcPr>
            <w:tcW w:w="794" w:type="dxa"/>
            <w:tcBorders>
              <w:top w:val="nil"/>
              <w:left w:val="nil"/>
              <w:bottom w:val="single" w:sz="4" w:space="0" w:color="auto"/>
              <w:right w:val="single" w:sz="4" w:space="0" w:color="auto"/>
            </w:tcBorders>
            <w:shd w:val="clear" w:color="auto" w:fill="auto"/>
            <w:noWrap/>
          </w:tcPr>
          <w:p w14:paraId="0415C173" w14:textId="77777777" w:rsidR="00FA554E" w:rsidRPr="004E2074" w:rsidRDefault="00FA554E" w:rsidP="00BA4FCA">
            <w:pPr>
              <w:jc w:val="right"/>
            </w:pPr>
            <w:r w:rsidRPr="004E2074">
              <w:t>32</w:t>
            </w:r>
          </w:p>
        </w:tc>
        <w:tc>
          <w:tcPr>
            <w:tcW w:w="794" w:type="dxa"/>
            <w:tcBorders>
              <w:top w:val="nil"/>
              <w:left w:val="nil"/>
              <w:bottom w:val="single" w:sz="4" w:space="0" w:color="auto"/>
              <w:right w:val="single" w:sz="4" w:space="0" w:color="auto"/>
            </w:tcBorders>
            <w:shd w:val="clear" w:color="auto" w:fill="auto"/>
            <w:noWrap/>
          </w:tcPr>
          <w:p w14:paraId="51AB13E5" w14:textId="77777777" w:rsidR="00FA554E" w:rsidRPr="004E2074" w:rsidRDefault="00FA554E" w:rsidP="00BA4FCA">
            <w:pPr>
              <w:jc w:val="right"/>
            </w:pPr>
            <w:r w:rsidRPr="004E2074">
              <w:t>42</w:t>
            </w:r>
          </w:p>
        </w:tc>
      </w:tr>
      <w:tr w:rsidR="00FA554E" w:rsidRPr="004E2074" w14:paraId="1364C43F" w14:textId="77777777" w:rsidTr="00885D07">
        <w:trPr>
          <w:trHeight w:val="255"/>
        </w:trPr>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187367F0" w14:textId="77777777" w:rsidR="00FA554E" w:rsidRPr="00F057D5" w:rsidRDefault="00FA554E" w:rsidP="004024CE">
            <w:pPr>
              <w:rPr>
                <w:b/>
                <w:bCs/>
              </w:rPr>
            </w:pPr>
            <w:r w:rsidRPr="00F057D5">
              <w:rPr>
                <w:b/>
                <w:bCs/>
              </w:rPr>
              <w:t>Total</w:t>
            </w:r>
          </w:p>
        </w:tc>
        <w:tc>
          <w:tcPr>
            <w:tcW w:w="793" w:type="dxa"/>
            <w:tcBorders>
              <w:top w:val="single" w:sz="4" w:space="0" w:color="auto"/>
              <w:left w:val="nil"/>
              <w:bottom w:val="single" w:sz="4" w:space="0" w:color="auto"/>
              <w:right w:val="single" w:sz="4" w:space="0" w:color="auto"/>
            </w:tcBorders>
            <w:shd w:val="clear" w:color="auto" w:fill="auto"/>
            <w:noWrap/>
          </w:tcPr>
          <w:p w14:paraId="1E67331D" w14:textId="77777777" w:rsidR="00FA554E" w:rsidRPr="00F057D5" w:rsidRDefault="00FA554E" w:rsidP="00BA4FCA">
            <w:pPr>
              <w:jc w:val="right"/>
              <w:rPr>
                <w:b/>
                <w:bCs/>
              </w:rPr>
            </w:pPr>
            <w:r w:rsidRPr="00F057D5">
              <w:rPr>
                <w:b/>
                <w:bCs/>
              </w:rPr>
              <w:t>624</w:t>
            </w:r>
          </w:p>
        </w:tc>
        <w:tc>
          <w:tcPr>
            <w:tcW w:w="794" w:type="dxa"/>
            <w:tcBorders>
              <w:top w:val="single" w:sz="4" w:space="0" w:color="auto"/>
              <w:left w:val="nil"/>
              <w:bottom w:val="single" w:sz="4" w:space="0" w:color="auto"/>
              <w:right w:val="single" w:sz="4" w:space="0" w:color="auto"/>
            </w:tcBorders>
            <w:shd w:val="clear" w:color="auto" w:fill="auto"/>
            <w:noWrap/>
          </w:tcPr>
          <w:p w14:paraId="7820999A" w14:textId="77777777" w:rsidR="00FA554E" w:rsidRPr="00F057D5" w:rsidRDefault="00FA554E" w:rsidP="00BA4FCA">
            <w:pPr>
              <w:jc w:val="right"/>
              <w:rPr>
                <w:b/>
                <w:bCs/>
              </w:rPr>
            </w:pPr>
            <w:r w:rsidRPr="00F057D5">
              <w:rPr>
                <w:b/>
                <w:bCs/>
              </w:rPr>
              <w:t>741</w:t>
            </w:r>
          </w:p>
        </w:tc>
        <w:tc>
          <w:tcPr>
            <w:tcW w:w="794" w:type="dxa"/>
            <w:tcBorders>
              <w:top w:val="single" w:sz="4" w:space="0" w:color="auto"/>
              <w:left w:val="nil"/>
              <w:bottom w:val="single" w:sz="4" w:space="0" w:color="auto"/>
              <w:right w:val="single" w:sz="4" w:space="0" w:color="auto"/>
            </w:tcBorders>
            <w:shd w:val="clear" w:color="auto" w:fill="auto"/>
            <w:noWrap/>
          </w:tcPr>
          <w:p w14:paraId="15B1A062" w14:textId="77777777" w:rsidR="00FA554E" w:rsidRPr="00F057D5" w:rsidRDefault="00FA554E" w:rsidP="00BA4FCA">
            <w:pPr>
              <w:jc w:val="right"/>
              <w:rPr>
                <w:b/>
                <w:bCs/>
              </w:rPr>
            </w:pPr>
            <w:r w:rsidRPr="00F057D5">
              <w:rPr>
                <w:b/>
                <w:bCs/>
              </w:rPr>
              <w:t>424</w:t>
            </w:r>
          </w:p>
        </w:tc>
        <w:tc>
          <w:tcPr>
            <w:tcW w:w="794" w:type="dxa"/>
            <w:tcBorders>
              <w:top w:val="single" w:sz="4" w:space="0" w:color="auto"/>
              <w:left w:val="nil"/>
              <w:bottom w:val="single" w:sz="4" w:space="0" w:color="auto"/>
              <w:right w:val="single" w:sz="4" w:space="0" w:color="auto"/>
            </w:tcBorders>
            <w:shd w:val="clear" w:color="auto" w:fill="auto"/>
            <w:noWrap/>
          </w:tcPr>
          <w:p w14:paraId="5A6297C2" w14:textId="77777777" w:rsidR="00FA554E" w:rsidRPr="00F057D5" w:rsidRDefault="00FA554E" w:rsidP="00BA4FCA">
            <w:pPr>
              <w:jc w:val="right"/>
              <w:rPr>
                <w:b/>
                <w:bCs/>
              </w:rPr>
            </w:pPr>
            <w:r w:rsidRPr="00F057D5">
              <w:rPr>
                <w:b/>
                <w:bCs/>
              </w:rPr>
              <w:t>439</w:t>
            </w:r>
          </w:p>
        </w:tc>
      </w:tr>
    </w:tbl>
    <w:p w14:paraId="24F0B06C" w14:textId="77777777" w:rsidR="00F30E69" w:rsidRDefault="00F30E69" w:rsidP="00F057D5"/>
    <w:p w14:paraId="36F72D64" w14:textId="5CA0EEA9" w:rsidR="00F057D5" w:rsidRPr="004E2074" w:rsidRDefault="00F057D5" w:rsidP="00F057D5">
      <w:r w:rsidRPr="004E2074">
        <w:t>Of those conferences not attended</w:t>
      </w:r>
      <w:r w:rsidR="006A3A9A">
        <w:t>,</w:t>
      </w:r>
      <w:r w:rsidRPr="004E2074">
        <w:t xml:space="preserve"> 21.7 percent were for explained (acceptable) reasons. Conferences during the financial year resulted in 23 </w:t>
      </w:r>
      <w:r w:rsidR="0035080E">
        <w:t>agreements to attend community support services</w:t>
      </w:r>
      <w:r w:rsidRPr="004E2074">
        <w:t>, 302 orders made to attend community support services and 219 CIM orders issued.</w:t>
      </w:r>
    </w:p>
    <w:p w14:paraId="1BDAD752" w14:textId="5DED0BE1" w:rsidR="00FA554E" w:rsidRPr="004E2074" w:rsidRDefault="00FA554E" w:rsidP="00532A1E">
      <w:pPr>
        <w:pStyle w:val="Heading3"/>
      </w:pPr>
      <w:r w:rsidRPr="004E2074">
        <w:t>Referrals</w:t>
      </w:r>
    </w:p>
    <w:p w14:paraId="64C3F5D1" w14:textId="1E8BF848" w:rsidR="00C61351" w:rsidRPr="004E2074" w:rsidRDefault="00C61351" w:rsidP="00C61351">
      <w:r w:rsidRPr="004E2074">
        <w:t xml:space="preserve">Referrals to service providers are an integral part of achieving the Commission’s strategic outcomes of improved community wellbeing and responsibility. </w:t>
      </w:r>
      <w:r>
        <w:t>During this reporting period</w:t>
      </w:r>
      <w:r w:rsidRPr="004E2074">
        <w:t xml:space="preserve"> 402 referrals inclusive of orders </w:t>
      </w:r>
      <w:r w:rsidR="0035080E">
        <w:t xml:space="preserve">and agreements </w:t>
      </w:r>
      <w:r w:rsidRPr="004E2074">
        <w:t>to attend support services for 286 clients were made to service providers.</w:t>
      </w:r>
    </w:p>
    <w:p w14:paraId="41A4B01B" w14:textId="5283D4C4" w:rsidR="00C445E5" w:rsidRPr="004E2074" w:rsidRDefault="00C445E5" w:rsidP="00C445E5">
      <w:r w:rsidRPr="004E2074">
        <w:t>The number of referrals is comprised of 120 referrals in the first half of the financial year and 282 referrals in the second half of the financial year. The number of referrals for the financial year represents a 396</w:t>
      </w:r>
      <w:r w:rsidR="00307963">
        <w:t>.3</w:t>
      </w:r>
      <w:r w:rsidRPr="004E2074">
        <w:t xml:space="preserve"> percent increase from the previous reporting period of 81 referrals</w:t>
      </w:r>
      <w:r>
        <w:t>. This result</w:t>
      </w:r>
      <w:r w:rsidRPr="004E2074">
        <w:t xml:space="preserve"> is indicative of the review of operations</w:t>
      </w:r>
      <w:r w:rsidR="006566CB">
        <w:t xml:space="preserve">, </w:t>
      </w:r>
      <w:r>
        <w:t>continuity of funding,</w:t>
      </w:r>
      <w:r w:rsidRPr="004E2074">
        <w:t xml:space="preserve"> </w:t>
      </w:r>
      <w:r>
        <w:t>engagement with service provider partners and the increased capability of the Commissioners to conference clients with complex behaviours.</w:t>
      </w:r>
    </w:p>
    <w:p w14:paraId="3C1A336B" w14:textId="187573C7" w:rsidR="00FA554E" w:rsidRPr="00792BF3" w:rsidRDefault="00FA554E" w:rsidP="00711316">
      <w:pPr>
        <w:ind w:left="720" w:hanging="720"/>
        <w:rPr>
          <w:rFonts w:ascii="Helvetica" w:hAnsi="Helvetica" w:cs="Helvetica"/>
          <w:b/>
          <w:bCs/>
          <w:sz w:val="17"/>
          <w:szCs w:val="17"/>
          <w:lang w:val="en-US"/>
        </w:rPr>
      </w:pPr>
      <w:r w:rsidRPr="00792BF3">
        <w:rPr>
          <w:rFonts w:ascii="Helvetica" w:hAnsi="Helvetica" w:cs="Helvetica"/>
          <w:b/>
          <w:bCs/>
          <w:sz w:val="17"/>
          <w:szCs w:val="17"/>
          <w:lang w:val="en-US"/>
        </w:rPr>
        <w:t xml:space="preserve">Table </w:t>
      </w:r>
      <w:r w:rsidR="00110290">
        <w:rPr>
          <w:rFonts w:ascii="Helvetica" w:hAnsi="Helvetica" w:cs="Helvetica"/>
          <w:b/>
          <w:bCs/>
          <w:sz w:val="17"/>
          <w:szCs w:val="17"/>
          <w:lang w:val="en-US"/>
        </w:rPr>
        <w:t>9</w:t>
      </w:r>
      <w:r w:rsidRPr="00792BF3">
        <w:rPr>
          <w:rFonts w:ascii="Helvetica" w:hAnsi="Helvetica" w:cs="Helvetica"/>
          <w:b/>
          <w:bCs/>
          <w:sz w:val="17"/>
          <w:szCs w:val="17"/>
          <w:lang w:val="en-US"/>
        </w:rPr>
        <w:t xml:space="preserve">: FRC referral pathways by referral type and quarter </w:t>
      </w:r>
      <w:r w:rsidRPr="00792BF3">
        <w:rPr>
          <w:rFonts w:ascii="Helvetica" w:hAnsi="Helvetica" w:cs="Helvetica"/>
          <w:b/>
          <w:bCs/>
          <w:sz w:val="17"/>
          <w:szCs w:val="17"/>
          <w:lang w:val="en-US"/>
        </w:rPr>
        <w:br/>
        <w:t>1 July 2019 to 30 June 2020.</w:t>
      </w:r>
    </w:p>
    <w:tbl>
      <w:tblPr>
        <w:tblW w:w="5013" w:type="dxa"/>
        <w:tblLayout w:type="fixed"/>
        <w:tblLook w:val="04A0" w:firstRow="1" w:lastRow="0" w:firstColumn="1" w:lastColumn="0" w:noHBand="0" w:noVBand="1"/>
      </w:tblPr>
      <w:tblGrid>
        <w:gridCol w:w="2178"/>
        <w:gridCol w:w="708"/>
        <w:gridCol w:w="709"/>
        <w:gridCol w:w="709"/>
        <w:gridCol w:w="709"/>
      </w:tblGrid>
      <w:tr w:rsidR="00FA554E" w:rsidRPr="004E2074" w14:paraId="6FE4E90E" w14:textId="77777777" w:rsidTr="00061BEF">
        <w:trPr>
          <w:trHeight w:val="510"/>
        </w:trPr>
        <w:tc>
          <w:tcPr>
            <w:tcW w:w="217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54336942" w14:textId="69F3472E" w:rsidR="00FA554E" w:rsidRPr="007519D3" w:rsidRDefault="00FA554E" w:rsidP="004024CE">
            <w:pPr>
              <w:rPr>
                <w:b/>
                <w:bCs/>
                <w:color w:val="FFFFFF" w:themeColor="background1"/>
              </w:rPr>
            </w:pPr>
            <w:r w:rsidRPr="007519D3">
              <w:rPr>
                <w:b/>
                <w:bCs/>
                <w:color w:val="FFFFFF" w:themeColor="background1"/>
              </w:rPr>
              <w:t xml:space="preserve">Referral </w:t>
            </w:r>
            <w:r w:rsidR="008D2038">
              <w:rPr>
                <w:b/>
                <w:bCs/>
                <w:color w:val="FFFFFF" w:themeColor="background1"/>
              </w:rPr>
              <w:t>t</w:t>
            </w:r>
            <w:r w:rsidRPr="007519D3">
              <w:rPr>
                <w:b/>
                <w:bCs/>
                <w:color w:val="FFFFFF" w:themeColor="background1"/>
              </w:rPr>
              <w:t>ype</w:t>
            </w:r>
          </w:p>
        </w:tc>
        <w:tc>
          <w:tcPr>
            <w:tcW w:w="708" w:type="dxa"/>
            <w:tcBorders>
              <w:top w:val="single" w:sz="4" w:space="0" w:color="auto"/>
              <w:left w:val="nil"/>
              <w:bottom w:val="single" w:sz="4" w:space="0" w:color="auto"/>
              <w:right w:val="single" w:sz="4" w:space="0" w:color="auto"/>
            </w:tcBorders>
            <w:shd w:val="clear" w:color="auto" w:fill="808080" w:themeFill="background1" w:themeFillShade="80"/>
            <w:hideMark/>
          </w:tcPr>
          <w:p w14:paraId="5359FD90"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45</w:t>
            </w:r>
          </w:p>
        </w:tc>
        <w:tc>
          <w:tcPr>
            <w:tcW w:w="709" w:type="dxa"/>
            <w:tcBorders>
              <w:top w:val="single" w:sz="4" w:space="0" w:color="auto"/>
              <w:left w:val="nil"/>
              <w:bottom w:val="single" w:sz="4" w:space="0" w:color="auto"/>
              <w:right w:val="single" w:sz="4" w:space="0" w:color="auto"/>
            </w:tcBorders>
            <w:shd w:val="clear" w:color="auto" w:fill="808080" w:themeFill="background1" w:themeFillShade="80"/>
            <w:hideMark/>
          </w:tcPr>
          <w:p w14:paraId="3E616F6E"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46</w:t>
            </w:r>
          </w:p>
        </w:tc>
        <w:tc>
          <w:tcPr>
            <w:tcW w:w="709" w:type="dxa"/>
            <w:tcBorders>
              <w:top w:val="single" w:sz="4" w:space="0" w:color="auto"/>
              <w:left w:val="nil"/>
              <w:bottom w:val="single" w:sz="4" w:space="0" w:color="auto"/>
              <w:right w:val="single" w:sz="4" w:space="0" w:color="auto"/>
            </w:tcBorders>
            <w:shd w:val="clear" w:color="auto" w:fill="808080" w:themeFill="background1" w:themeFillShade="80"/>
            <w:hideMark/>
          </w:tcPr>
          <w:p w14:paraId="3AFC9AF0"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47</w:t>
            </w:r>
          </w:p>
        </w:tc>
        <w:tc>
          <w:tcPr>
            <w:tcW w:w="709" w:type="dxa"/>
            <w:tcBorders>
              <w:top w:val="single" w:sz="4" w:space="0" w:color="auto"/>
              <w:left w:val="nil"/>
              <w:bottom w:val="single" w:sz="4" w:space="0" w:color="auto"/>
              <w:right w:val="single" w:sz="4" w:space="0" w:color="auto"/>
            </w:tcBorders>
            <w:shd w:val="clear" w:color="auto" w:fill="808080" w:themeFill="background1" w:themeFillShade="80"/>
            <w:hideMark/>
          </w:tcPr>
          <w:p w14:paraId="07D0CA13"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48</w:t>
            </w:r>
          </w:p>
        </w:tc>
      </w:tr>
      <w:tr w:rsidR="00FA554E" w:rsidRPr="004E2074" w14:paraId="23248BFE"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3BCDBA18" w14:textId="77777777" w:rsidR="00FA554E" w:rsidRPr="004E2074" w:rsidRDefault="00FA554E" w:rsidP="004024CE">
            <w:proofErr w:type="spellStart"/>
            <w:r w:rsidRPr="004E2074">
              <w:t>MPower</w:t>
            </w:r>
            <w:proofErr w:type="spellEnd"/>
          </w:p>
        </w:tc>
        <w:tc>
          <w:tcPr>
            <w:tcW w:w="708" w:type="dxa"/>
            <w:tcBorders>
              <w:top w:val="nil"/>
              <w:left w:val="nil"/>
              <w:bottom w:val="single" w:sz="4" w:space="0" w:color="auto"/>
              <w:right w:val="single" w:sz="4" w:space="0" w:color="auto"/>
            </w:tcBorders>
            <w:shd w:val="clear" w:color="auto" w:fill="auto"/>
            <w:noWrap/>
          </w:tcPr>
          <w:p w14:paraId="5E68F5DF" w14:textId="77777777" w:rsidR="00FA554E" w:rsidRPr="004E2074" w:rsidRDefault="00FA554E" w:rsidP="00BA4FCA">
            <w:pPr>
              <w:jc w:val="right"/>
            </w:pPr>
            <w:r w:rsidRPr="004E2074">
              <w:t>1</w:t>
            </w:r>
          </w:p>
        </w:tc>
        <w:tc>
          <w:tcPr>
            <w:tcW w:w="709" w:type="dxa"/>
            <w:tcBorders>
              <w:top w:val="nil"/>
              <w:left w:val="nil"/>
              <w:bottom w:val="single" w:sz="4" w:space="0" w:color="auto"/>
              <w:right w:val="single" w:sz="4" w:space="0" w:color="auto"/>
            </w:tcBorders>
            <w:shd w:val="clear" w:color="auto" w:fill="auto"/>
            <w:noWrap/>
          </w:tcPr>
          <w:p w14:paraId="7BAD4CF7" w14:textId="77777777" w:rsidR="00FA554E" w:rsidRPr="004E2074" w:rsidRDefault="00FA554E" w:rsidP="00BA4FCA">
            <w:pPr>
              <w:jc w:val="right"/>
            </w:pPr>
            <w:r w:rsidRPr="004E2074">
              <w:t>20</w:t>
            </w:r>
          </w:p>
        </w:tc>
        <w:tc>
          <w:tcPr>
            <w:tcW w:w="709" w:type="dxa"/>
            <w:tcBorders>
              <w:top w:val="nil"/>
              <w:left w:val="nil"/>
              <w:bottom w:val="single" w:sz="4" w:space="0" w:color="auto"/>
              <w:right w:val="single" w:sz="4" w:space="0" w:color="auto"/>
            </w:tcBorders>
            <w:shd w:val="clear" w:color="auto" w:fill="auto"/>
            <w:noWrap/>
          </w:tcPr>
          <w:p w14:paraId="426EA195" w14:textId="77777777" w:rsidR="00FA554E" w:rsidRPr="004E2074" w:rsidRDefault="00FA554E" w:rsidP="00BA4FCA">
            <w:pPr>
              <w:jc w:val="right"/>
            </w:pPr>
            <w:r w:rsidRPr="004E2074">
              <w:t>62</w:t>
            </w:r>
          </w:p>
        </w:tc>
        <w:tc>
          <w:tcPr>
            <w:tcW w:w="709" w:type="dxa"/>
            <w:tcBorders>
              <w:top w:val="nil"/>
              <w:left w:val="nil"/>
              <w:bottom w:val="single" w:sz="4" w:space="0" w:color="auto"/>
              <w:right w:val="single" w:sz="4" w:space="0" w:color="auto"/>
            </w:tcBorders>
            <w:shd w:val="clear" w:color="auto" w:fill="auto"/>
            <w:noWrap/>
          </w:tcPr>
          <w:p w14:paraId="2939A2BA" w14:textId="77777777" w:rsidR="00FA554E" w:rsidRPr="004E2074" w:rsidRDefault="00FA554E" w:rsidP="00BA4FCA">
            <w:pPr>
              <w:jc w:val="right"/>
            </w:pPr>
            <w:r w:rsidRPr="004E2074">
              <w:t>39</w:t>
            </w:r>
          </w:p>
        </w:tc>
      </w:tr>
      <w:tr w:rsidR="00FA554E" w:rsidRPr="004E2074" w14:paraId="7AB16E48"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4C1B619F" w14:textId="77777777" w:rsidR="00FA554E" w:rsidRPr="004E2074" w:rsidRDefault="00FA554E" w:rsidP="004024CE">
            <w:r w:rsidRPr="004E2074">
              <w:t xml:space="preserve">WBC - </w:t>
            </w:r>
            <w:proofErr w:type="spellStart"/>
            <w:r w:rsidRPr="004E2074">
              <w:t>Apunipima</w:t>
            </w:r>
            <w:proofErr w:type="spellEnd"/>
          </w:p>
        </w:tc>
        <w:tc>
          <w:tcPr>
            <w:tcW w:w="708" w:type="dxa"/>
            <w:tcBorders>
              <w:top w:val="nil"/>
              <w:left w:val="nil"/>
              <w:bottom w:val="single" w:sz="4" w:space="0" w:color="auto"/>
              <w:right w:val="single" w:sz="4" w:space="0" w:color="auto"/>
            </w:tcBorders>
            <w:shd w:val="clear" w:color="auto" w:fill="auto"/>
            <w:noWrap/>
          </w:tcPr>
          <w:p w14:paraId="517CDC24" w14:textId="77777777" w:rsidR="00FA554E" w:rsidRPr="004E2074" w:rsidRDefault="00FA554E" w:rsidP="00BA4FCA">
            <w:pPr>
              <w:jc w:val="right"/>
            </w:pPr>
            <w:r w:rsidRPr="004E2074">
              <w:t>25</w:t>
            </w:r>
          </w:p>
        </w:tc>
        <w:tc>
          <w:tcPr>
            <w:tcW w:w="709" w:type="dxa"/>
            <w:tcBorders>
              <w:top w:val="nil"/>
              <w:left w:val="nil"/>
              <w:bottom w:val="single" w:sz="4" w:space="0" w:color="auto"/>
              <w:right w:val="single" w:sz="4" w:space="0" w:color="auto"/>
            </w:tcBorders>
            <w:shd w:val="clear" w:color="auto" w:fill="auto"/>
            <w:noWrap/>
          </w:tcPr>
          <w:p w14:paraId="3E162094" w14:textId="77777777" w:rsidR="00FA554E" w:rsidRPr="004E2074" w:rsidRDefault="00FA554E" w:rsidP="00BA4FCA">
            <w:pPr>
              <w:jc w:val="right"/>
            </w:pPr>
            <w:r w:rsidRPr="004E2074">
              <w:t>22</w:t>
            </w:r>
          </w:p>
        </w:tc>
        <w:tc>
          <w:tcPr>
            <w:tcW w:w="709" w:type="dxa"/>
            <w:tcBorders>
              <w:top w:val="nil"/>
              <w:left w:val="nil"/>
              <w:bottom w:val="single" w:sz="4" w:space="0" w:color="auto"/>
              <w:right w:val="single" w:sz="4" w:space="0" w:color="auto"/>
            </w:tcBorders>
            <w:shd w:val="clear" w:color="auto" w:fill="auto"/>
            <w:noWrap/>
          </w:tcPr>
          <w:p w14:paraId="71EC9CE3" w14:textId="77777777" w:rsidR="00FA554E" w:rsidRPr="004E2074" w:rsidRDefault="00FA554E" w:rsidP="00BA4FCA">
            <w:pPr>
              <w:jc w:val="right"/>
            </w:pPr>
            <w:r w:rsidRPr="004E2074">
              <w:t>59</w:t>
            </w:r>
          </w:p>
        </w:tc>
        <w:tc>
          <w:tcPr>
            <w:tcW w:w="709" w:type="dxa"/>
            <w:tcBorders>
              <w:top w:val="nil"/>
              <w:left w:val="nil"/>
              <w:bottom w:val="single" w:sz="4" w:space="0" w:color="auto"/>
              <w:right w:val="single" w:sz="4" w:space="0" w:color="auto"/>
            </w:tcBorders>
            <w:shd w:val="clear" w:color="auto" w:fill="auto"/>
            <w:noWrap/>
          </w:tcPr>
          <w:p w14:paraId="1D4BA97A" w14:textId="77777777" w:rsidR="00FA554E" w:rsidRPr="004E2074" w:rsidRDefault="00FA554E" w:rsidP="00BA4FCA">
            <w:pPr>
              <w:jc w:val="right"/>
            </w:pPr>
            <w:r w:rsidRPr="004E2074">
              <w:t>24</w:t>
            </w:r>
          </w:p>
        </w:tc>
      </w:tr>
      <w:tr w:rsidR="00FA554E" w:rsidRPr="004E2074" w14:paraId="37A2E694"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03E0AC82" w14:textId="77777777" w:rsidR="00FA554E" w:rsidRPr="004E2074" w:rsidRDefault="00FA554E" w:rsidP="004024CE">
            <w:r w:rsidRPr="004E2074">
              <w:t>WBC - NWRH</w:t>
            </w:r>
          </w:p>
        </w:tc>
        <w:tc>
          <w:tcPr>
            <w:tcW w:w="708" w:type="dxa"/>
            <w:tcBorders>
              <w:top w:val="nil"/>
              <w:left w:val="nil"/>
              <w:bottom w:val="single" w:sz="4" w:space="0" w:color="auto"/>
              <w:right w:val="single" w:sz="4" w:space="0" w:color="auto"/>
            </w:tcBorders>
            <w:shd w:val="clear" w:color="auto" w:fill="auto"/>
            <w:noWrap/>
          </w:tcPr>
          <w:p w14:paraId="5D469D83" w14:textId="77777777" w:rsidR="00FA554E" w:rsidRPr="004E2074" w:rsidRDefault="00FA554E" w:rsidP="00BA4FCA">
            <w:pPr>
              <w:jc w:val="right"/>
            </w:pPr>
            <w:r w:rsidRPr="004E2074">
              <w:t>3</w:t>
            </w:r>
          </w:p>
        </w:tc>
        <w:tc>
          <w:tcPr>
            <w:tcW w:w="709" w:type="dxa"/>
            <w:tcBorders>
              <w:top w:val="nil"/>
              <w:left w:val="nil"/>
              <w:bottom w:val="single" w:sz="4" w:space="0" w:color="auto"/>
              <w:right w:val="single" w:sz="4" w:space="0" w:color="auto"/>
            </w:tcBorders>
            <w:shd w:val="clear" w:color="auto" w:fill="auto"/>
            <w:noWrap/>
          </w:tcPr>
          <w:p w14:paraId="7915A3D2" w14:textId="77777777" w:rsidR="00FA554E" w:rsidRPr="004E2074" w:rsidRDefault="00FA554E" w:rsidP="00BA4FCA">
            <w:pPr>
              <w:jc w:val="right"/>
            </w:pPr>
            <w:r w:rsidRPr="004E2074">
              <w:t>7</w:t>
            </w:r>
          </w:p>
        </w:tc>
        <w:tc>
          <w:tcPr>
            <w:tcW w:w="709" w:type="dxa"/>
            <w:tcBorders>
              <w:top w:val="nil"/>
              <w:left w:val="nil"/>
              <w:bottom w:val="single" w:sz="4" w:space="0" w:color="auto"/>
              <w:right w:val="single" w:sz="4" w:space="0" w:color="auto"/>
            </w:tcBorders>
            <w:shd w:val="clear" w:color="auto" w:fill="auto"/>
            <w:noWrap/>
          </w:tcPr>
          <w:p w14:paraId="4E3AAB72" w14:textId="77777777" w:rsidR="00FA554E" w:rsidRPr="004E2074" w:rsidRDefault="00FA554E" w:rsidP="00BA4FCA">
            <w:pPr>
              <w:jc w:val="right"/>
            </w:pPr>
            <w:r w:rsidRPr="004E2074">
              <w:t>4</w:t>
            </w:r>
          </w:p>
        </w:tc>
        <w:tc>
          <w:tcPr>
            <w:tcW w:w="709" w:type="dxa"/>
            <w:tcBorders>
              <w:top w:val="nil"/>
              <w:left w:val="nil"/>
              <w:bottom w:val="single" w:sz="4" w:space="0" w:color="auto"/>
              <w:right w:val="single" w:sz="4" w:space="0" w:color="auto"/>
            </w:tcBorders>
            <w:shd w:val="clear" w:color="auto" w:fill="auto"/>
            <w:noWrap/>
          </w:tcPr>
          <w:p w14:paraId="3BD00D81" w14:textId="77777777" w:rsidR="00FA554E" w:rsidRPr="004E2074" w:rsidRDefault="00FA554E" w:rsidP="00BA4FCA">
            <w:pPr>
              <w:jc w:val="right"/>
            </w:pPr>
            <w:r w:rsidRPr="004E2074">
              <w:t>1</w:t>
            </w:r>
          </w:p>
        </w:tc>
      </w:tr>
      <w:tr w:rsidR="00FA554E" w:rsidRPr="004E2074" w14:paraId="17E346EA"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7F749800" w14:textId="77777777" w:rsidR="00FA554E" w:rsidRPr="004E2074" w:rsidRDefault="00FA554E" w:rsidP="004024CE">
            <w:r w:rsidRPr="004E2074">
              <w:t>School Attendance Officer</w:t>
            </w:r>
          </w:p>
        </w:tc>
        <w:tc>
          <w:tcPr>
            <w:tcW w:w="708" w:type="dxa"/>
            <w:tcBorders>
              <w:top w:val="nil"/>
              <w:left w:val="nil"/>
              <w:bottom w:val="single" w:sz="4" w:space="0" w:color="auto"/>
              <w:right w:val="single" w:sz="4" w:space="0" w:color="auto"/>
            </w:tcBorders>
            <w:shd w:val="clear" w:color="auto" w:fill="auto"/>
            <w:noWrap/>
          </w:tcPr>
          <w:p w14:paraId="36F828D8" w14:textId="77777777" w:rsidR="00FA554E" w:rsidRPr="004E2074" w:rsidRDefault="00FA554E" w:rsidP="00BA4FCA">
            <w:pPr>
              <w:jc w:val="right"/>
            </w:pPr>
            <w:r w:rsidRPr="004E2074">
              <w:t>10</w:t>
            </w:r>
          </w:p>
        </w:tc>
        <w:tc>
          <w:tcPr>
            <w:tcW w:w="709" w:type="dxa"/>
            <w:tcBorders>
              <w:top w:val="nil"/>
              <w:left w:val="nil"/>
              <w:bottom w:val="single" w:sz="4" w:space="0" w:color="auto"/>
              <w:right w:val="single" w:sz="4" w:space="0" w:color="auto"/>
            </w:tcBorders>
            <w:shd w:val="clear" w:color="auto" w:fill="auto"/>
            <w:noWrap/>
          </w:tcPr>
          <w:p w14:paraId="6943AF39" w14:textId="77777777" w:rsidR="00FA554E" w:rsidRPr="004E2074" w:rsidRDefault="00FA554E" w:rsidP="00BA4FCA">
            <w:pPr>
              <w:jc w:val="right"/>
            </w:pPr>
            <w:r w:rsidRPr="004E2074">
              <w:t>15</w:t>
            </w:r>
          </w:p>
        </w:tc>
        <w:tc>
          <w:tcPr>
            <w:tcW w:w="709" w:type="dxa"/>
            <w:tcBorders>
              <w:top w:val="nil"/>
              <w:left w:val="nil"/>
              <w:bottom w:val="single" w:sz="4" w:space="0" w:color="auto"/>
              <w:right w:val="single" w:sz="4" w:space="0" w:color="auto"/>
            </w:tcBorders>
            <w:shd w:val="clear" w:color="auto" w:fill="auto"/>
            <w:noWrap/>
          </w:tcPr>
          <w:p w14:paraId="64A605DB" w14:textId="77777777" w:rsidR="00FA554E" w:rsidRPr="004E2074" w:rsidRDefault="00FA554E" w:rsidP="00BA4FCA">
            <w:pPr>
              <w:jc w:val="right"/>
            </w:pPr>
            <w:r w:rsidRPr="004E2074">
              <w:t>32</w:t>
            </w:r>
          </w:p>
        </w:tc>
        <w:tc>
          <w:tcPr>
            <w:tcW w:w="709" w:type="dxa"/>
            <w:tcBorders>
              <w:top w:val="nil"/>
              <w:left w:val="nil"/>
              <w:bottom w:val="single" w:sz="4" w:space="0" w:color="auto"/>
              <w:right w:val="single" w:sz="4" w:space="0" w:color="auto"/>
            </w:tcBorders>
            <w:shd w:val="clear" w:color="auto" w:fill="auto"/>
            <w:noWrap/>
          </w:tcPr>
          <w:p w14:paraId="503B8ED4" w14:textId="77777777" w:rsidR="00FA554E" w:rsidRPr="004E2074" w:rsidRDefault="00FA554E" w:rsidP="00BA4FCA">
            <w:pPr>
              <w:jc w:val="right"/>
            </w:pPr>
            <w:r w:rsidRPr="004E2074">
              <w:t>35</w:t>
            </w:r>
          </w:p>
        </w:tc>
      </w:tr>
      <w:tr w:rsidR="00FA554E" w:rsidRPr="004E2074" w14:paraId="744506DB"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05244811" w14:textId="34FE9EC1" w:rsidR="00FA554E" w:rsidRPr="004E2074" w:rsidRDefault="00FA554E" w:rsidP="004024CE">
            <w:r w:rsidRPr="004E2074">
              <w:t>RAATSIC (FWS) - Parenting Program</w:t>
            </w:r>
          </w:p>
        </w:tc>
        <w:tc>
          <w:tcPr>
            <w:tcW w:w="708" w:type="dxa"/>
            <w:tcBorders>
              <w:top w:val="nil"/>
              <w:left w:val="nil"/>
              <w:bottom w:val="single" w:sz="4" w:space="0" w:color="auto"/>
              <w:right w:val="single" w:sz="4" w:space="0" w:color="auto"/>
            </w:tcBorders>
            <w:shd w:val="clear" w:color="auto" w:fill="auto"/>
            <w:noWrap/>
          </w:tcPr>
          <w:p w14:paraId="5BED6B79" w14:textId="77777777" w:rsidR="00FA554E" w:rsidRPr="004E2074" w:rsidRDefault="00FA554E" w:rsidP="00BA4FCA">
            <w:pPr>
              <w:jc w:val="right"/>
            </w:pPr>
            <w:r w:rsidRPr="004E2074">
              <w:t>1</w:t>
            </w:r>
          </w:p>
        </w:tc>
        <w:tc>
          <w:tcPr>
            <w:tcW w:w="709" w:type="dxa"/>
            <w:tcBorders>
              <w:top w:val="nil"/>
              <w:left w:val="nil"/>
              <w:bottom w:val="single" w:sz="4" w:space="0" w:color="auto"/>
              <w:right w:val="single" w:sz="4" w:space="0" w:color="auto"/>
            </w:tcBorders>
            <w:shd w:val="clear" w:color="auto" w:fill="auto"/>
            <w:noWrap/>
          </w:tcPr>
          <w:p w14:paraId="3E40DCBF" w14:textId="77777777" w:rsidR="00FA554E" w:rsidRPr="004E2074" w:rsidRDefault="00FA554E" w:rsidP="00BA4FCA">
            <w:pPr>
              <w:jc w:val="right"/>
            </w:pPr>
            <w:r w:rsidRPr="004E2074">
              <w:t>0</w:t>
            </w:r>
          </w:p>
        </w:tc>
        <w:tc>
          <w:tcPr>
            <w:tcW w:w="709" w:type="dxa"/>
            <w:tcBorders>
              <w:top w:val="nil"/>
              <w:left w:val="nil"/>
              <w:bottom w:val="single" w:sz="4" w:space="0" w:color="auto"/>
              <w:right w:val="single" w:sz="4" w:space="0" w:color="auto"/>
            </w:tcBorders>
            <w:shd w:val="clear" w:color="auto" w:fill="auto"/>
            <w:noWrap/>
          </w:tcPr>
          <w:p w14:paraId="5961526B" w14:textId="77777777" w:rsidR="00FA554E" w:rsidRPr="004E2074" w:rsidRDefault="00FA554E" w:rsidP="00BA4FCA">
            <w:pPr>
              <w:jc w:val="right"/>
            </w:pPr>
            <w:r w:rsidRPr="004E2074">
              <w:t>4</w:t>
            </w:r>
          </w:p>
        </w:tc>
        <w:tc>
          <w:tcPr>
            <w:tcW w:w="709" w:type="dxa"/>
            <w:tcBorders>
              <w:top w:val="nil"/>
              <w:left w:val="nil"/>
              <w:bottom w:val="single" w:sz="4" w:space="0" w:color="auto"/>
              <w:right w:val="single" w:sz="4" w:space="0" w:color="auto"/>
            </w:tcBorders>
            <w:shd w:val="clear" w:color="auto" w:fill="auto"/>
            <w:noWrap/>
          </w:tcPr>
          <w:p w14:paraId="05A3B435" w14:textId="77777777" w:rsidR="00FA554E" w:rsidRPr="004E2074" w:rsidRDefault="00FA554E" w:rsidP="00BA4FCA">
            <w:pPr>
              <w:jc w:val="right"/>
            </w:pPr>
            <w:r w:rsidRPr="004E2074">
              <w:t>1</w:t>
            </w:r>
          </w:p>
        </w:tc>
      </w:tr>
      <w:tr w:rsidR="00FA554E" w:rsidRPr="004E2074" w14:paraId="2C69E604"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tcPr>
          <w:p w14:paraId="1724E2D7" w14:textId="77777777" w:rsidR="00FA554E" w:rsidRPr="004E2074" w:rsidRDefault="00FA554E" w:rsidP="004024CE">
            <w:r w:rsidRPr="004E2074">
              <w:t>Gungarde (FWS) - Parenting Program</w:t>
            </w:r>
          </w:p>
        </w:tc>
        <w:tc>
          <w:tcPr>
            <w:tcW w:w="708" w:type="dxa"/>
            <w:tcBorders>
              <w:top w:val="nil"/>
              <w:left w:val="nil"/>
              <w:bottom w:val="single" w:sz="4" w:space="0" w:color="auto"/>
              <w:right w:val="single" w:sz="4" w:space="0" w:color="auto"/>
            </w:tcBorders>
            <w:shd w:val="clear" w:color="auto" w:fill="auto"/>
            <w:noWrap/>
          </w:tcPr>
          <w:p w14:paraId="7D1F1F81" w14:textId="77777777" w:rsidR="00FA554E" w:rsidRPr="004E2074" w:rsidRDefault="00FA554E" w:rsidP="00BA4FCA">
            <w:pPr>
              <w:jc w:val="right"/>
            </w:pPr>
            <w:r w:rsidRPr="004E2074">
              <w:t>0</w:t>
            </w:r>
          </w:p>
        </w:tc>
        <w:tc>
          <w:tcPr>
            <w:tcW w:w="709" w:type="dxa"/>
            <w:tcBorders>
              <w:top w:val="nil"/>
              <w:left w:val="nil"/>
              <w:bottom w:val="single" w:sz="4" w:space="0" w:color="auto"/>
              <w:right w:val="single" w:sz="4" w:space="0" w:color="auto"/>
            </w:tcBorders>
            <w:shd w:val="clear" w:color="auto" w:fill="auto"/>
            <w:noWrap/>
          </w:tcPr>
          <w:p w14:paraId="2E088A0E" w14:textId="77777777" w:rsidR="00FA554E" w:rsidRPr="004E2074" w:rsidRDefault="00FA554E" w:rsidP="00BA4FCA">
            <w:pPr>
              <w:jc w:val="right"/>
            </w:pPr>
            <w:r w:rsidRPr="004E2074">
              <w:t>0</w:t>
            </w:r>
          </w:p>
        </w:tc>
        <w:tc>
          <w:tcPr>
            <w:tcW w:w="709" w:type="dxa"/>
            <w:tcBorders>
              <w:top w:val="nil"/>
              <w:left w:val="nil"/>
              <w:bottom w:val="single" w:sz="4" w:space="0" w:color="auto"/>
              <w:right w:val="single" w:sz="4" w:space="0" w:color="auto"/>
            </w:tcBorders>
            <w:shd w:val="clear" w:color="auto" w:fill="auto"/>
            <w:noWrap/>
          </w:tcPr>
          <w:p w14:paraId="18A50E09" w14:textId="77777777" w:rsidR="00FA554E" w:rsidRPr="004E2074" w:rsidRDefault="00FA554E" w:rsidP="00BA4FCA">
            <w:pPr>
              <w:jc w:val="right"/>
            </w:pPr>
            <w:r w:rsidRPr="004E2074">
              <w:t>1</w:t>
            </w:r>
          </w:p>
        </w:tc>
        <w:tc>
          <w:tcPr>
            <w:tcW w:w="709" w:type="dxa"/>
            <w:tcBorders>
              <w:top w:val="nil"/>
              <w:left w:val="nil"/>
              <w:bottom w:val="single" w:sz="4" w:space="0" w:color="auto"/>
              <w:right w:val="single" w:sz="4" w:space="0" w:color="auto"/>
            </w:tcBorders>
            <w:shd w:val="clear" w:color="auto" w:fill="auto"/>
            <w:noWrap/>
          </w:tcPr>
          <w:p w14:paraId="0F1825AC" w14:textId="77777777" w:rsidR="00FA554E" w:rsidRPr="004E2074" w:rsidRDefault="00FA554E" w:rsidP="00BA4FCA">
            <w:pPr>
              <w:jc w:val="right"/>
            </w:pPr>
            <w:r w:rsidRPr="004E2074">
              <w:t>2</w:t>
            </w:r>
          </w:p>
        </w:tc>
      </w:tr>
      <w:tr w:rsidR="00FA554E" w:rsidRPr="004E2074" w14:paraId="72D3A046"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75A9F992" w14:textId="77777777" w:rsidR="00FA554E" w:rsidRPr="004E2074" w:rsidRDefault="00FA554E" w:rsidP="004024CE">
            <w:proofErr w:type="spellStart"/>
            <w:r w:rsidRPr="004E2074">
              <w:t>Mulungu</w:t>
            </w:r>
            <w:proofErr w:type="spellEnd"/>
            <w:r w:rsidRPr="004E2074">
              <w:t xml:space="preserve"> (FWS) - Parenting Program</w:t>
            </w:r>
          </w:p>
        </w:tc>
        <w:tc>
          <w:tcPr>
            <w:tcW w:w="708" w:type="dxa"/>
            <w:tcBorders>
              <w:top w:val="nil"/>
              <w:left w:val="nil"/>
              <w:bottom w:val="single" w:sz="4" w:space="0" w:color="auto"/>
              <w:right w:val="single" w:sz="4" w:space="0" w:color="auto"/>
            </w:tcBorders>
            <w:shd w:val="clear" w:color="auto" w:fill="auto"/>
            <w:noWrap/>
          </w:tcPr>
          <w:p w14:paraId="14D8593E" w14:textId="77777777" w:rsidR="00FA554E" w:rsidRPr="004E2074" w:rsidRDefault="00FA554E" w:rsidP="00BA4FCA">
            <w:pPr>
              <w:jc w:val="right"/>
            </w:pPr>
            <w:r w:rsidRPr="004E2074">
              <w:t>0</w:t>
            </w:r>
          </w:p>
        </w:tc>
        <w:tc>
          <w:tcPr>
            <w:tcW w:w="709" w:type="dxa"/>
            <w:tcBorders>
              <w:top w:val="nil"/>
              <w:left w:val="nil"/>
              <w:bottom w:val="single" w:sz="4" w:space="0" w:color="auto"/>
              <w:right w:val="single" w:sz="4" w:space="0" w:color="auto"/>
            </w:tcBorders>
            <w:shd w:val="clear" w:color="auto" w:fill="auto"/>
            <w:noWrap/>
          </w:tcPr>
          <w:p w14:paraId="4AE45519" w14:textId="77777777" w:rsidR="00FA554E" w:rsidRPr="004E2074" w:rsidRDefault="00FA554E" w:rsidP="00BA4FCA">
            <w:pPr>
              <w:jc w:val="right"/>
            </w:pPr>
            <w:r w:rsidRPr="004E2074">
              <w:t>0</w:t>
            </w:r>
          </w:p>
        </w:tc>
        <w:tc>
          <w:tcPr>
            <w:tcW w:w="709" w:type="dxa"/>
            <w:tcBorders>
              <w:top w:val="nil"/>
              <w:left w:val="nil"/>
              <w:bottom w:val="single" w:sz="4" w:space="0" w:color="auto"/>
              <w:right w:val="single" w:sz="4" w:space="0" w:color="auto"/>
            </w:tcBorders>
            <w:shd w:val="clear" w:color="auto" w:fill="auto"/>
            <w:noWrap/>
          </w:tcPr>
          <w:p w14:paraId="34A1750D" w14:textId="77777777" w:rsidR="00FA554E" w:rsidRPr="004E2074" w:rsidRDefault="00FA554E" w:rsidP="00BA4FCA">
            <w:pPr>
              <w:jc w:val="right"/>
            </w:pPr>
            <w:r w:rsidRPr="004E2074">
              <w:t>2</w:t>
            </w:r>
          </w:p>
        </w:tc>
        <w:tc>
          <w:tcPr>
            <w:tcW w:w="709" w:type="dxa"/>
            <w:tcBorders>
              <w:top w:val="nil"/>
              <w:left w:val="nil"/>
              <w:bottom w:val="single" w:sz="4" w:space="0" w:color="auto"/>
              <w:right w:val="single" w:sz="4" w:space="0" w:color="auto"/>
            </w:tcBorders>
            <w:shd w:val="clear" w:color="auto" w:fill="auto"/>
            <w:noWrap/>
          </w:tcPr>
          <w:p w14:paraId="31144CD0" w14:textId="77777777" w:rsidR="00FA554E" w:rsidRPr="004E2074" w:rsidRDefault="00FA554E" w:rsidP="00BA4FCA">
            <w:pPr>
              <w:jc w:val="right"/>
            </w:pPr>
            <w:r w:rsidRPr="004E2074">
              <w:t>2</w:t>
            </w:r>
          </w:p>
        </w:tc>
      </w:tr>
      <w:tr w:rsidR="00FA554E" w:rsidRPr="004E2074" w14:paraId="148E105C"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3BB8A008" w14:textId="77777777" w:rsidR="00FA554E" w:rsidRPr="004E2074" w:rsidRDefault="00FA554E" w:rsidP="004024CE">
            <w:r w:rsidRPr="004E2074">
              <w:t>QLD Health</w:t>
            </w:r>
          </w:p>
        </w:tc>
        <w:tc>
          <w:tcPr>
            <w:tcW w:w="708" w:type="dxa"/>
            <w:tcBorders>
              <w:top w:val="nil"/>
              <w:left w:val="nil"/>
              <w:bottom w:val="single" w:sz="4" w:space="0" w:color="auto"/>
              <w:right w:val="single" w:sz="4" w:space="0" w:color="auto"/>
            </w:tcBorders>
            <w:shd w:val="clear" w:color="auto" w:fill="auto"/>
            <w:noWrap/>
          </w:tcPr>
          <w:p w14:paraId="34E01D76" w14:textId="77777777" w:rsidR="00FA554E" w:rsidRPr="004E2074" w:rsidRDefault="00FA554E" w:rsidP="00BA4FCA">
            <w:pPr>
              <w:jc w:val="right"/>
            </w:pPr>
            <w:r w:rsidRPr="004E2074">
              <w:t>0</w:t>
            </w:r>
          </w:p>
        </w:tc>
        <w:tc>
          <w:tcPr>
            <w:tcW w:w="709" w:type="dxa"/>
            <w:tcBorders>
              <w:top w:val="nil"/>
              <w:left w:val="nil"/>
              <w:bottom w:val="single" w:sz="4" w:space="0" w:color="auto"/>
              <w:right w:val="single" w:sz="4" w:space="0" w:color="auto"/>
            </w:tcBorders>
            <w:shd w:val="clear" w:color="auto" w:fill="auto"/>
            <w:noWrap/>
          </w:tcPr>
          <w:p w14:paraId="14D70772" w14:textId="77777777" w:rsidR="00FA554E" w:rsidRPr="004E2074" w:rsidRDefault="00FA554E" w:rsidP="00BA4FCA">
            <w:pPr>
              <w:jc w:val="right"/>
            </w:pPr>
            <w:r w:rsidRPr="004E2074">
              <w:t>0</w:t>
            </w:r>
          </w:p>
        </w:tc>
        <w:tc>
          <w:tcPr>
            <w:tcW w:w="709" w:type="dxa"/>
            <w:tcBorders>
              <w:top w:val="nil"/>
              <w:left w:val="nil"/>
              <w:bottom w:val="single" w:sz="4" w:space="0" w:color="auto"/>
              <w:right w:val="single" w:sz="4" w:space="0" w:color="auto"/>
            </w:tcBorders>
            <w:shd w:val="clear" w:color="auto" w:fill="auto"/>
            <w:noWrap/>
          </w:tcPr>
          <w:p w14:paraId="18455025" w14:textId="77777777" w:rsidR="00FA554E" w:rsidRPr="004E2074" w:rsidRDefault="00FA554E" w:rsidP="00BA4FCA">
            <w:pPr>
              <w:jc w:val="right"/>
            </w:pPr>
            <w:r w:rsidRPr="004E2074">
              <w:t>3</w:t>
            </w:r>
          </w:p>
        </w:tc>
        <w:tc>
          <w:tcPr>
            <w:tcW w:w="709" w:type="dxa"/>
            <w:tcBorders>
              <w:top w:val="nil"/>
              <w:left w:val="nil"/>
              <w:bottom w:val="single" w:sz="4" w:space="0" w:color="auto"/>
              <w:right w:val="single" w:sz="4" w:space="0" w:color="auto"/>
            </w:tcBorders>
            <w:shd w:val="clear" w:color="auto" w:fill="auto"/>
            <w:noWrap/>
          </w:tcPr>
          <w:p w14:paraId="362069F8" w14:textId="77777777" w:rsidR="00FA554E" w:rsidRPr="004E2074" w:rsidRDefault="00FA554E" w:rsidP="00BA4FCA">
            <w:pPr>
              <w:jc w:val="right"/>
            </w:pPr>
            <w:r w:rsidRPr="004E2074">
              <w:t>0</w:t>
            </w:r>
          </w:p>
        </w:tc>
      </w:tr>
      <w:tr w:rsidR="00FA554E" w:rsidRPr="004E2074" w14:paraId="348C04ED" w14:textId="77777777" w:rsidTr="00885D07">
        <w:trPr>
          <w:trHeight w:val="255"/>
        </w:trPr>
        <w:tc>
          <w:tcPr>
            <w:tcW w:w="2178" w:type="dxa"/>
            <w:tcBorders>
              <w:top w:val="nil"/>
              <w:left w:val="single" w:sz="4" w:space="0" w:color="auto"/>
              <w:bottom w:val="single" w:sz="4" w:space="0" w:color="auto"/>
              <w:right w:val="single" w:sz="4" w:space="0" w:color="auto"/>
            </w:tcBorders>
            <w:shd w:val="clear" w:color="auto" w:fill="auto"/>
            <w:noWrap/>
            <w:hideMark/>
          </w:tcPr>
          <w:p w14:paraId="291654EB" w14:textId="77777777" w:rsidR="00FA554E" w:rsidRPr="004E2074" w:rsidRDefault="00FA554E" w:rsidP="004024CE">
            <w:r w:rsidRPr="004E2074">
              <w:t>Save the Children</w:t>
            </w:r>
          </w:p>
        </w:tc>
        <w:tc>
          <w:tcPr>
            <w:tcW w:w="708" w:type="dxa"/>
            <w:tcBorders>
              <w:top w:val="nil"/>
              <w:left w:val="nil"/>
              <w:bottom w:val="single" w:sz="4" w:space="0" w:color="auto"/>
              <w:right w:val="single" w:sz="4" w:space="0" w:color="auto"/>
            </w:tcBorders>
            <w:shd w:val="clear" w:color="auto" w:fill="auto"/>
            <w:noWrap/>
          </w:tcPr>
          <w:p w14:paraId="58C47763" w14:textId="77777777" w:rsidR="00FA554E" w:rsidRPr="004E2074" w:rsidRDefault="00FA554E" w:rsidP="00BA4FCA">
            <w:pPr>
              <w:jc w:val="right"/>
            </w:pPr>
            <w:r w:rsidRPr="004E2074">
              <w:t>2</w:t>
            </w:r>
          </w:p>
        </w:tc>
        <w:tc>
          <w:tcPr>
            <w:tcW w:w="709" w:type="dxa"/>
            <w:tcBorders>
              <w:top w:val="nil"/>
              <w:left w:val="nil"/>
              <w:bottom w:val="single" w:sz="4" w:space="0" w:color="auto"/>
              <w:right w:val="single" w:sz="4" w:space="0" w:color="auto"/>
            </w:tcBorders>
            <w:shd w:val="clear" w:color="auto" w:fill="auto"/>
            <w:noWrap/>
          </w:tcPr>
          <w:p w14:paraId="0424FDC4" w14:textId="77777777" w:rsidR="00FA554E" w:rsidRPr="004E2074" w:rsidRDefault="00FA554E" w:rsidP="00BA4FCA">
            <w:pPr>
              <w:jc w:val="right"/>
            </w:pPr>
            <w:r w:rsidRPr="004E2074">
              <w:t>14</w:t>
            </w:r>
          </w:p>
        </w:tc>
        <w:tc>
          <w:tcPr>
            <w:tcW w:w="709" w:type="dxa"/>
            <w:tcBorders>
              <w:top w:val="nil"/>
              <w:left w:val="nil"/>
              <w:bottom w:val="single" w:sz="4" w:space="0" w:color="auto"/>
              <w:right w:val="single" w:sz="4" w:space="0" w:color="auto"/>
            </w:tcBorders>
            <w:shd w:val="clear" w:color="auto" w:fill="auto"/>
            <w:noWrap/>
          </w:tcPr>
          <w:p w14:paraId="1A27F1CA" w14:textId="77777777" w:rsidR="00FA554E" w:rsidRPr="004E2074" w:rsidRDefault="00FA554E" w:rsidP="00BA4FCA">
            <w:pPr>
              <w:jc w:val="right"/>
            </w:pPr>
            <w:r w:rsidRPr="004E2074">
              <w:t>11</w:t>
            </w:r>
          </w:p>
        </w:tc>
        <w:tc>
          <w:tcPr>
            <w:tcW w:w="709" w:type="dxa"/>
            <w:tcBorders>
              <w:top w:val="nil"/>
              <w:left w:val="nil"/>
              <w:bottom w:val="single" w:sz="4" w:space="0" w:color="auto"/>
              <w:right w:val="single" w:sz="4" w:space="0" w:color="auto"/>
            </w:tcBorders>
            <w:shd w:val="clear" w:color="auto" w:fill="auto"/>
            <w:noWrap/>
          </w:tcPr>
          <w:p w14:paraId="0973A4F5" w14:textId="77777777" w:rsidR="00FA554E" w:rsidRPr="004E2074" w:rsidRDefault="00FA554E" w:rsidP="00BA4FCA">
            <w:pPr>
              <w:jc w:val="right"/>
            </w:pPr>
            <w:r w:rsidRPr="004E2074">
              <w:t>0</w:t>
            </w:r>
          </w:p>
        </w:tc>
      </w:tr>
      <w:tr w:rsidR="00FA554E" w:rsidRPr="004E2074" w14:paraId="226EAFBF" w14:textId="77777777" w:rsidTr="00885D07">
        <w:trPr>
          <w:trHeight w:val="255"/>
        </w:trPr>
        <w:tc>
          <w:tcPr>
            <w:tcW w:w="2178" w:type="dxa"/>
            <w:tcBorders>
              <w:top w:val="single" w:sz="4" w:space="0" w:color="auto"/>
              <w:left w:val="single" w:sz="4" w:space="0" w:color="auto"/>
              <w:bottom w:val="single" w:sz="4" w:space="0" w:color="auto"/>
              <w:right w:val="single" w:sz="4" w:space="0" w:color="auto"/>
            </w:tcBorders>
            <w:shd w:val="clear" w:color="auto" w:fill="auto"/>
            <w:noWrap/>
          </w:tcPr>
          <w:p w14:paraId="7AA5BB3B" w14:textId="77777777" w:rsidR="00FA554E" w:rsidRPr="00554C37" w:rsidRDefault="00FA554E" w:rsidP="004024CE">
            <w:pPr>
              <w:rPr>
                <w:b/>
                <w:bCs/>
              </w:rPr>
            </w:pPr>
            <w:r w:rsidRPr="00554C37">
              <w:rPr>
                <w:b/>
                <w:bCs/>
              </w:rPr>
              <w:t>Total</w:t>
            </w:r>
          </w:p>
        </w:tc>
        <w:tc>
          <w:tcPr>
            <w:tcW w:w="708" w:type="dxa"/>
            <w:tcBorders>
              <w:top w:val="single" w:sz="4" w:space="0" w:color="auto"/>
              <w:left w:val="nil"/>
              <w:bottom w:val="single" w:sz="4" w:space="0" w:color="auto"/>
              <w:right w:val="single" w:sz="4" w:space="0" w:color="auto"/>
            </w:tcBorders>
            <w:shd w:val="clear" w:color="auto" w:fill="auto"/>
            <w:noWrap/>
          </w:tcPr>
          <w:p w14:paraId="430CBD0C" w14:textId="77777777" w:rsidR="00FA554E" w:rsidRPr="00554C37" w:rsidRDefault="00FA554E" w:rsidP="00BA4FCA">
            <w:pPr>
              <w:jc w:val="right"/>
              <w:rPr>
                <w:b/>
                <w:bCs/>
              </w:rPr>
            </w:pPr>
            <w:r w:rsidRPr="00554C37">
              <w:rPr>
                <w:b/>
                <w:bCs/>
              </w:rPr>
              <w:t>42</w:t>
            </w:r>
          </w:p>
        </w:tc>
        <w:tc>
          <w:tcPr>
            <w:tcW w:w="709" w:type="dxa"/>
            <w:tcBorders>
              <w:top w:val="single" w:sz="4" w:space="0" w:color="auto"/>
              <w:left w:val="nil"/>
              <w:bottom w:val="single" w:sz="4" w:space="0" w:color="auto"/>
              <w:right w:val="single" w:sz="4" w:space="0" w:color="auto"/>
            </w:tcBorders>
            <w:shd w:val="clear" w:color="auto" w:fill="auto"/>
            <w:noWrap/>
          </w:tcPr>
          <w:p w14:paraId="5ABD3D84" w14:textId="77777777" w:rsidR="00FA554E" w:rsidRPr="00554C37" w:rsidRDefault="00FA554E" w:rsidP="00BA4FCA">
            <w:pPr>
              <w:jc w:val="right"/>
              <w:rPr>
                <w:b/>
                <w:bCs/>
              </w:rPr>
            </w:pPr>
            <w:r w:rsidRPr="00554C37">
              <w:rPr>
                <w:b/>
                <w:bCs/>
              </w:rPr>
              <w:t>78</w:t>
            </w:r>
          </w:p>
        </w:tc>
        <w:tc>
          <w:tcPr>
            <w:tcW w:w="709" w:type="dxa"/>
            <w:tcBorders>
              <w:top w:val="single" w:sz="4" w:space="0" w:color="auto"/>
              <w:left w:val="nil"/>
              <w:bottom w:val="single" w:sz="4" w:space="0" w:color="auto"/>
              <w:right w:val="single" w:sz="4" w:space="0" w:color="auto"/>
            </w:tcBorders>
            <w:shd w:val="clear" w:color="auto" w:fill="auto"/>
            <w:noWrap/>
          </w:tcPr>
          <w:p w14:paraId="28EDC7B9" w14:textId="77777777" w:rsidR="00FA554E" w:rsidRPr="00554C37" w:rsidRDefault="00FA554E" w:rsidP="00BA4FCA">
            <w:pPr>
              <w:jc w:val="right"/>
              <w:rPr>
                <w:b/>
                <w:bCs/>
              </w:rPr>
            </w:pPr>
            <w:r w:rsidRPr="00554C37">
              <w:rPr>
                <w:b/>
                <w:bCs/>
              </w:rPr>
              <w:t>178</w:t>
            </w:r>
          </w:p>
        </w:tc>
        <w:tc>
          <w:tcPr>
            <w:tcW w:w="709" w:type="dxa"/>
            <w:tcBorders>
              <w:top w:val="single" w:sz="4" w:space="0" w:color="auto"/>
              <w:left w:val="nil"/>
              <w:bottom w:val="single" w:sz="4" w:space="0" w:color="auto"/>
              <w:right w:val="single" w:sz="4" w:space="0" w:color="auto"/>
            </w:tcBorders>
            <w:shd w:val="clear" w:color="auto" w:fill="auto"/>
            <w:noWrap/>
          </w:tcPr>
          <w:p w14:paraId="4513C4B8" w14:textId="77777777" w:rsidR="00FA554E" w:rsidRPr="00554C37" w:rsidRDefault="00FA554E" w:rsidP="00BA4FCA">
            <w:pPr>
              <w:jc w:val="right"/>
              <w:rPr>
                <w:b/>
                <w:bCs/>
              </w:rPr>
            </w:pPr>
            <w:r w:rsidRPr="00554C37">
              <w:rPr>
                <w:b/>
                <w:bCs/>
              </w:rPr>
              <w:t>104</w:t>
            </w:r>
          </w:p>
        </w:tc>
      </w:tr>
    </w:tbl>
    <w:p w14:paraId="211F4669" w14:textId="20F47107" w:rsidR="00532A1E" w:rsidRDefault="00F30E69" w:rsidP="00532A1E">
      <w:r>
        <w:br w:type="column"/>
      </w:r>
      <w:r w:rsidR="00532A1E" w:rsidRPr="004E2074">
        <w:lastRenderedPageBreak/>
        <w:t>The number of clients placed on a case plan concurrent with a CIM increased from 36 in 2018-19 to 112 in 2019-20 whilst the number placed on a CIM order without a case plan dropped from 140 to 53. These changes are indicative of the shifting views of Local Commissioners to practice a more holistic approach, using support services in conjunction with income management to stabilise family circumstances and encourage improved social behaviour.</w:t>
      </w:r>
    </w:p>
    <w:p w14:paraId="3FDDD5E2" w14:textId="5689DFDC" w:rsidR="00FA554E" w:rsidRDefault="00FA554E" w:rsidP="00BD1F72">
      <w:pPr>
        <w:ind w:left="720" w:hanging="720"/>
      </w:pPr>
    </w:p>
    <w:p w14:paraId="2E5665FE" w14:textId="77777777" w:rsidR="000D18E7" w:rsidRPr="004E2074" w:rsidRDefault="000D18E7" w:rsidP="000D18E7">
      <w:pPr>
        <w:pStyle w:val="Heading3"/>
      </w:pPr>
      <w:r w:rsidRPr="004E2074">
        <w:t>Case management monitoring</w:t>
      </w:r>
    </w:p>
    <w:p w14:paraId="43939CB0" w14:textId="77777777" w:rsidR="000D18E7" w:rsidRPr="004E2074" w:rsidRDefault="000D18E7" w:rsidP="000D18E7">
      <w:r w:rsidRPr="004E2074">
        <w:t xml:space="preserve">As at 30 June 2020, 286 clients were being </w:t>
      </w:r>
      <w:proofErr w:type="gramStart"/>
      <w:r w:rsidRPr="004E2074">
        <w:t>case-managed</w:t>
      </w:r>
      <w:proofErr w:type="gramEnd"/>
      <w:r w:rsidRPr="004E2074">
        <w:t xml:space="preserve"> through active case plans pertaining to referrals. The number of </w:t>
      </w:r>
      <w:proofErr w:type="gramStart"/>
      <w:r w:rsidRPr="004E2074">
        <w:t>clients</w:t>
      </w:r>
      <w:proofErr w:type="gramEnd"/>
      <w:r w:rsidRPr="004E2074">
        <w:t xml:space="preserve"> case-managed on a current case plan serves as the clearest indicator of the renewed approach of Local Commissioners to assist in building safe, caring and connected communities.</w:t>
      </w:r>
    </w:p>
    <w:p w14:paraId="10EED67F" w14:textId="77777777" w:rsidR="000D18E7" w:rsidRPr="004E2074" w:rsidRDefault="000D18E7" w:rsidP="000D18E7">
      <w:r w:rsidRPr="004E2074">
        <w:t>As noted, the Commission has not been receiving client progress reports from some key support services. Whilst it is acknowledged that service providers have competing priorities with respect to their reporting obligations, the lack of information about client progress available to Commissioners impedes the effectiveness of case plan referrals.</w:t>
      </w:r>
    </w:p>
    <w:p w14:paraId="450AF3CE" w14:textId="77777777" w:rsidR="006566CB" w:rsidRDefault="006566CB" w:rsidP="00901E4A">
      <w:pPr>
        <w:ind w:left="720" w:hanging="720"/>
      </w:pPr>
    </w:p>
    <w:p w14:paraId="3C631592" w14:textId="1B19BA40" w:rsidR="00FA554E" w:rsidRPr="004E2074" w:rsidRDefault="00FA554E" w:rsidP="00C77E5F">
      <w:pPr>
        <w:pStyle w:val="Heading3"/>
      </w:pPr>
      <w:r w:rsidRPr="004E2074">
        <w:t>Conditional income management</w:t>
      </w:r>
    </w:p>
    <w:p w14:paraId="577B7204" w14:textId="2EE9958B" w:rsidR="00FA554E" w:rsidRPr="00792BF3" w:rsidRDefault="00FA554E" w:rsidP="00792BF3">
      <w:pPr>
        <w:ind w:left="720" w:hanging="720"/>
        <w:rPr>
          <w:rFonts w:ascii="Helvetica" w:hAnsi="Helvetica" w:cs="Helvetica"/>
          <w:b/>
          <w:bCs/>
          <w:sz w:val="17"/>
          <w:szCs w:val="17"/>
          <w:lang w:val="en-US"/>
        </w:rPr>
      </w:pPr>
      <w:r w:rsidRPr="00792BF3">
        <w:rPr>
          <w:rFonts w:ascii="Helvetica" w:hAnsi="Helvetica" w:cs="Helvetica"/>
          <w:b/>
          <w:bCs/>
          <w:sz w:val="17"/>
          <w:szCs w:val="17"/>
          <w:lang w:val="en-US"/>
        </w:rPr>
        <w:t>Table 1</w:t>
      </w:r>
      <w:r w:rsidR="00110290">
        <w:rPr>
          <w:rFonts w:ascii="Helvetica" w:hAnsi="Helvetica" w:cs="Helvetica"/>
          <w:b/>
          <w:bCs/>
          <w:sz w:val="17"/>
          <w:szCs w:val="17"/>
          <w:lang w:val="en-US"/>
        </w:rPr>
        <w:t>0</w:t>
      </w:r>
      <w:r w:rsidRPr="00792BF3">
        <w:rPr>
          <w:rFonts w:ascii="Helvetica" w:hAnsi="Helvetica" w:cs="Helvetica"/>
          <w:b/>
          <w:bCs/>
          <w:sz w:val="17"/>
          <w:szCs w:val="17"/>
          <w:lang w:val="en-US"/>
        </w:rPr>
        <w:t>: Conditional income management orders by community and quarter 1 July 2019 to 30 June 2020.</w:t>
      </w:r>
    </w:p>
    <w:tbl>
      <w:tblPr>
        <w:tblW w:w="5013" w:type="dxa"/>
        <w:tblLayout w:type="fixed"/>
        <w:tblLook w:val="04A0" w:firstRow="1" w:lastRow="0" w:firstColumn="1" w:lastColumn="0" w:noHBand="0" w:noVBand="1"/>
      </w:tblPr>
      <w:tblGrid>
        <w:gridCol w:w="1838"/>
        <w:gridCol w:w="793"/>
        <w:gridCol w:w="794"/>
        <w:gridCol w:w="794"/>
        <w:gridCol w:w="794"/>
      </w:tblGrid>
      <w:tr w:rsidR="00FA554E" w:rsidRPr="004E2074" w14:paraId="17DD672B" w14:textId="77777777" w:rsidTr="00061BEF">
        <w:trPr>
          <w:trHeight w:val="51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35D1E72F" w14:textId="77777777" w:rsidR="00FA554E" w:rsidRPr="007519D3" w:rsidRDefault="00FA554E" w:rsidP="004024CE">
            <w:pPr>
              <w:rPr>
                <w:b/>
                <w:bCs/>
                <w:color w:val="FFFFFF" w:themeColor="background1"/>
              </w:rPr>
            </w:pPr>
            <w:r w:rsidRPr="007519D3">
              <w:rPr>
                <w:b/>
                <w:bCs/>
                <w:color w:val="FFFFFF" w:themeColor="background1"/>
              </w:rPr>
              <w:t>CIM orders</w:t>
            </w:r>
          </w:p>
        </w:tc>
        <w:tc>
          <w:tcPr>
            <w:tcW w:w="793" w:type="dxa"/>
            <w:tcBorders>
              <w:top w:val="single" w:sz="4" w:space="0" w:color="auto"/>
              <w:left w:val="nil"/>
              <w:bottom w:val="single" w:sz="4" w:space="0" w:color="auto"/>
              <w:right w:val="single" w:sz="4" w:space="0" w:color="auto"/>
            </w:tcBorders>
            <w:shd w:val="clear" w:color="auto" w:fill="808080" w:themeFill="background1" w:themeFillShade="80"/>
            <w:hideMark/>
          </w:tcPr>
          <w:p w14:paraId="509EC6D9"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45</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763F4553"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46</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745380D4"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47</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428232A3"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48</w:t>
            </w:r>
          </w:p>
        </w:tc>
      </w:tr>
      <w:tr w:rsidR="00FA554E" w:rsidRPr="004E2074" w14:paraId="59E43E18"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23CB88D5" w14:textId="77777777" w:rsidR="00FA554E" w:rsidRPr="004E2074" w:rsidRDefault="00FA554E" w:rsidP="004024CE">
            <w:r w:rsidRPr="004E2074">
              <w:t>Aurukun</w:t>
            </w:r>
          </w:p>
        </w:tc>
        <w:tc>
          <w:tcPr>
            <w:tcW w:w="793" w:type="dxa"/>
            <w:tcBorders>
              <w:top w:val="nil"/>
              <w:left w:val="nil"/>
              <w:bottom w:val="single" w:sz="4" w:space="0" w:color="auto"/>
              <w:right w:val="single" w:sz="4" w:space="0" w:color="auto"/>
            </w:tcBorders>
            <w:shd w:val="clear" w:color="auto" w:fill="auto"/>
            <w:noWrap/>
          </w:tcPr>
          <w:p w14:paraId="524D0D4C" w14:textId="77777777" w:rsidR="00FA554E" w:rsidRPr="004E2074" w:rsidRDefault="00FA554E" w:rsidP="00BA4FCA">
            <w:pPr>
              <w:jc w:val="right"/>
            </w:pPr>
            <w:r w:rsidRPr="004E2074">
              <w:t>38</w:t>
            </w:r>
          </w:p>
        </w:tc>
        <w:tc>
          <w:tcPr>
            <w:tcW w:w="794" w:type="dxa"/>
            <w:tcBorders>
              <w:top w:val="nil"/>
              <w:left w:val="nil"/>
              <w:bottom w:val="single" w:sz="4" w:space="0" w:color="auto"/>
              <w:right w:val="single" w:sz="4" w:space="0" w:color="auto"/>
            </w:tcBorders>
            <w:shd w:val="clear" w:color="auto" w:fill="auto"/>
            <w:noWrap/>
          </w:tcPr>
          <w:p w14:paraId="7104061B" w14:textId="77777777" w:rsidR="00FA554E" w:rsidRPr="004E2074" w:rsidRDefault="00FA554E" w:rsidP="00BA4FCA">
            <w:pPr>
              <w:jc w:val="right"/>
            </w:pPr>
            <w:r w:rsidRPr="004E2074">
              <w:t>9</w:t>
            </w:r>
          </w:p>
        </w:tc>
        <w:tc>
          <w:tcPr>
            <w:tcW w:w="794" w:type="dxa"/>
            <w:tcBorders>
              <w:top w:val="nil"/>
              <w:left w:val="nil"/>
              <w:bottom w:val="single" w:sz="4" w:space="0" w:color="auto"/>
              <w:right w:val="single" w:sz="4" w:space="0" w:color="auto"/>
            </w:tcBorders>
            <w:shd w:val="clear" w:color="auto" w:fill="auto"/>
            <w:noWrap/>
          </w:tcPr>
          <w:p w14:paraId="426B306C" w14:textId="77777777" w:rsidR="00FA554E" w:rsidRPr="004E2074" w:rsidRDefault="00FA554E" w:rsidP="00BA4FCA">
            <w:pPr>
              <w:jc w:val="right"/>
            </w:pPr>
            <w:r w:rsidRPr="004E2074">
              <w:t>22</w:t>
            </w:r>
          </w:p>
        </w:tc>
        <w:tc>
          <w:tcPr>
            <w:tcW w:w="794" w:type="dxa"/>
            <w:tcBorders>
              <w:top w:val="nil"/>
              <w:left w:val="nil"/>
              <w:bottom w:val="single" w:sz="4" w:space="0" w:color="auto"/>
              <w:right w:val="single" w:sz="4" w:space="0" w:color="auto"/>
            </w:tcBorders>
            <w:shd w:val="clear" w:color="auto" w:fill="auto"/>
            <w:noWrap/>
          </w:tcPr>
          <w:p w14:paraId="252D6764" w14:textId="77777777" w:rsidR="00FA554E" w:rsidRPr="004E2074" w:rsidRDefault="00FA554E" w:rsidP="00BA4FCA">
            <w:pPr>
              <w:jc w:val="right"/>
            </w:pPr>
            <w:r w:rsidRPr="004E2074">
              <w:t>35</w:t>
            </w:r>
          </w:p>
        </w:tc>
      </w:tr>
      <w:tr w:rsidR="00FA554E" w:rsidRPr="004E2074" w14:paraId="51148F1C"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242F0599" w14:textId="77777777" w:rsidR="00FA554E" w:rsidRPr="004E2074" w:rsidRDefault="00FA554E" w:rsidP="004024CE">
            <w:r w:rsidRPr="004E2074">
              <w:t>Coen</w:t>
            </w:r>
          </w:p>
        </w:tc>
        <w:tc>
          <w:tcPr>
            <w:tcW w:w="793" w:type="dxa"/>
            <w:tcBorders>
              <w:top w:val="nil"/>
              <w:left w:val="nil"/>
              <w:bottom w:val="single" w:sz="4" w:space="0" w:color="auto"/>
              <w:right w:val="single" w:sz="4" w:space="0" w:color="auto"/>
            </w:tcBorders>
            <w:shd w:val="clear" w:color="auto" w:fill="auto"/>
            <w:noWrap/>
          </w:tcPr>
          <w:p w14:paraId="3AF6811E" w14:textId="77777777" w:rsidR="00FA554E" w:rsidRPr="004E2074" w:rsidRDefault="00FA554E" w:rsidP="00BA4FCA">
            <w:pPr>
              <w:jc w:val="right"/>
            </w:pPr>
            <w:r w:rsidRPr="004E2074">
              <w:t>0</w:t>
            </w:r>
          </w:p>
        </w:tc>
        <w:tc>
          <w:tcPr>
            <w:tcW w:w="794" w:type="dxa"/>
            <w:tcBorders>
              <w:top w:val="nil"/>
              <w:left w:val="nil"/>
              <w:bottom w:val="single" w:sz="4" w:space="0" w:color="auto"/>
              <w:right w:val="single" w:sz="4" w:space="0" w:color="auto"/>
            </w:tcBorders>
            <w:shd w:val="clear" w:color="auto" w:fill="auto"/>
            <w:noWrap/>
          </w:tcPr>
          <w:p w14:paraId="1DC44121" w14:textId="77777777" w:rsidR="00FA554E" w:rsidRPr="004E2074" w:rsidRDefault="00FA554E" w:rsidP="00BA4FCA">
            <w:pPr>
              <w:jc w:val="right"/>
            </w:pPr>
            <w:r w:rsidRPr="004E2074">
              <w:t>0</w:t>
            </w:r>
          </w:p>
        </w:tc>
        <w:tc>
          <w:tcPr>
            <w:tcW w:w="794" w:type="dxa"/>
            <w:tcBorders>
              <w:top w:val="nil"/>
              <w:left w:val="nil"/>
              <w:bottom w:val="single" w:sz="4" w:space="0" w:color="auto"/>
              <w:right w:val="single" w:sz="4" w:space="0" w:color="auto"/>
            </w:tcBorders>
            <w:shd w:val="clear" w:color="auto" w:fill="auto"/>
            <w:noWrap/>
          </w:tcPr>
          <w:p w14:paraId="0D0351AE" w14:textId="77777777" w:rsidR="00FA554E" w:rsidRPr="004E2074" w:rsidRDefault="00FA554E" w:rsidP="00BA4FCA">
            <w:pPr>
              <w:jc w:val="right"/>
            </w:pPr>
            <w:r w:rsidRPr="004E2074">
              <w:t>2</w:t>
            </w:r>
          </w:p>
        </w:tc>
        <w:tc>
          <w:tcPr>
            <w:tcW w:w="794" w:type="dxa"/>
            <w:tcBorders>
              <w:top w:val="nil"/>
              <w:left w:val="nil"/>
              <w:bottom w:val="single" w:sz="4" w:space="0" w:color="auto"/>
              <w:right w:val="single" w:sz="4" w:space="0" w:color="auto"/>
            </w:tcBorders>
            <w:shd w:val="clear" w:color="auto" w:fill="auto"/>
            <w:noWrap/>
          </w:tcPr>
          <w:p w14:paraId="536126A6" w14:textId="77777777" w:rsidR="00FA554E" w:rsidRPr="004E2074" w:rsidRDefault="00FA554E" w:rsidP="00BA4FCA">
            <w:pPr>
              <w:jc w:val="right"/>
            </w:pPr>
            <w:r w:rsidRPr="004E2074">
              <w:t>4</w:t>
            </w:r>
          </w:p>
        </w:tc>
      </w:tr>
      <w:tr w:rsidR="00FA554E" w:rsidRPr="004E2074" w14:paraId="33353239"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1CC31917" w14:textId="77777777" w:rsidR="00FA554E" w:rsidRPr="004E2074" w:rsidRDefault="00FA554E" w:rsidP="004024CE">
            <w:r w:rsidRPr="004E2074">
              <w:t>Doomadgee</w:t>
            </w:r>
          </w:p>
        </w:tc>
        <w:tc>
          <w:tcPr>
            <w:tcW w:w="793" w:type="dxa"/>
            <w:tcBorders>
              <w:top w:val="nil"/>
              <w:left w:val="nil"/>
              <w:bottom w:val="single" w:sz="4" w:space="0" w:color="auto"/>
              <w:right w:val="single" w:sz="4" w:space="0" w:color="auto"/>
            </w:tcBorders>
            <w:shd w:val="clear" w:color="auto" w:fill="auto"/>
            <w:noWrap/>
          </w:tcPr>
          <w:p w14:paraId="03A63AC3" w14:textId="77777777" w:rsidR="00FA554E" w:rsidRPr="004E2074" w:rsidRDefault="00FA554E" w:rsidP="00BA4FCA">
            <w:pPr>
              <w:jc w:val="right"/>
            </w:pPr>
            <w:r w:rsidRPr="004E2074">
              <w:t>30</w:t>
            </w:r>
          </w:p>
        </w:tc>
        <w:tc>
          <w:tcPr>
            <w:tcW w:w="794" w:type="dxa"/>
            <w:tcBorders>
              <w:top w:val="nil"/>
              <w:left w:val="nil"/>
              <w:bottom w:val="single" w:sz="4" w:space="0" w:color="auto"/>
              <w:right w:val="single" w:sz="4" w:space="0" w:color="auto"/>
            </w:tcBorders>
            <w:shd w:val="clear" w:color="auto" w:fill="auto"/>
            <w:noWrap/>
          </w:tcPr>
          <w:p w14:paraId="1B28EF2F" w14:textId="77777777" w:rsidR="00FA554E" w:rsidRPr="004E2074" w:rsidRDefault="00FA554E" w:rsidP="00BA4FCA">
            <w:pPr>
              <w:jc w:val="right"/>
            </w:pPr>
            <w:r w:rsidRPr="004E2074">
              <w:t>38</w:t>
            </w:r>
          </w:p>
        </w:tc>
        <w:tc>
          <w:tcPr>
            <w:tcW w:w="794" w:type="dxa"/>
            <w:tcBorders>
              <w:top w:val="nil"/>
              <w:left w:val="nil"/>
              <w:bottom w:val="single" w:sz="4" w:space="0" w:color="auto"/>
              <w:right w:val="single" w:sz="4" w:space="0" w:color="auto"/>
            </w:tcBorders>
            <w:shd w:val="clear" w:color="auto" w:fill="auto"/>
            <w:noWrap/>
          </w:tcPr>
          <w:p w14:paraId="0C6C953A" w14:textId="77777777" w:rsidR="00FA554E" w:rsidRPr="004E2074" w:rsidRDefault="00FA554E" w:rsidP="00BA4FCA">
            <w:pPr>
              <w:jc w:val="right"/>
            </w:pPr>
            <w:r w:rsidRPr="004E2074">
              <w:t>2</w:t>
            </w:r>
          </w:p>
        </w:tc>
        <w:tc>
          <w:tcPr>
            <w:tcW w:w="794" w:type="dxa"/>
            <w:tcBorders>
              <w:top w:val="nil"/>
              <w:left w:val="nil"/>
              <w:bottom w:val="single" w:sz="4" w:space="0" w:color="auto"/>
              <w:right w:val="single" w:sz="4" w:space="0" w:color="auto"/>
            </w:tcBorders>
            <w:shd w:val="clear" w:color="auto" w:fill="auto"/>
            <w:noWrap/>
          </w:tcPr>
          <w:p w14:paraId="3CA5798F" w14:textId="77777777" w:rsidR="00FA554E" w:rsidRPr="004E2074" w:rsidRDefault="00FA554E" w:rsidP="00BA4FCA">
            <w:pPr>
              <w:jc w:val="right"/>
            </w:pPr>
            <w:r w:rsidRPr="004E2074">
              <w:t>9</w:t>
            </w:r>
          </w:p>
        </w:tc>
      </w:tr>
      <w:tr w:rsidR="00FA554E" w:rsidRPr="004E2074" w14:paraId="2FEE4232"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1AD4954B" w14:textId="77777777" w:rsidR="00FA554E" w:rsidRPr="004E2074" w:rsidRDefault="00FA554E" w:rsidP="004024CE">
            <w:r w:rsidRPr="004E2074">
              <w:t>Hope Vale</w:t>
            </w:r>
          </w:p>
        </w:tc>
        <w:tc>
          <w:tcPr>
            <w:tcW w:w="793" w:type="dxa"/>
            <w:tcBorders>
              <w:top w:val="nil"/>
              <w:left w:val="nil"/>
              <w:bottom w:val="single" w:sz="4" w:space="0" w:color="auto"/>
              <w:right w:val="single" w:sz="4" w:space="0" w:color="auto"/>
            </w:tcBorders>
            <w:shd w:val="clear" w:color="auto" w:fill="auto"/>
            <w:noWrap/>
          </w:tcPr>
          <w:p w14:paraId="687016E4" w14:textId="77777777" w:rsidR="00FA554E" w:rsidRPr="004E2074" w:rsidRDefault="00FA554E" w:rsidP="00BA4FCA">
            <w:pPr>
              <w:jc w:val="right"/>
            </w:pPr>
            <w:r w:rsidRPr="004E2074">
              <w:t>11</w:t>
            </w:r>
          </w:p>
        </w:tc>
        <w:tc>
          <w:tcPr>
            <w:tcW w:w="794" w:type="dxa"/>
            <w:tcBorders>
              <w:top w:val="nil"/>
              <w:left w:val="nil"/>
              <w:bottom w:val="single" w:sz="4" w:space="0" w:color="auto"/>
              <w:right w:val="single" w:sz="4" w:space="0" w:color="auto"/>
            </w:tcBorders>
            <w:shd w:val="clear" w:color="auto" w:fill="auto"/>
            <w:noWrap/>
          </w:tcPr>
          <w:p w14:paraId="2F2B0EF5" w14:textId="77777777" w:rsidR="00FA554E" w:rsidRPr="004E2074" w:rsidRDefault="00FA554E" w:rsidP="00BA4FCA">
            <w:pPr>
              <w:jc w:val="right"/>
            </w:pPr>
            <w:r w:rsidRPr="004E2074">
              <w:t>5</w:t>
            </w:r>
          </w:p>
        </w:tc>
        <w:tc>
          <w:tcPr>
            <w:tcW w:w="794" w:type="dxa"/>
            <w:tcBorders>
              <w:top w:val="nil"/>
              <w:left w:val="nil"/>
              <w:bottom w:val="single" w:sz="4" w:space="0" w:color="auto"/>
              <w:right w:val="single" w:sz="4" w:space="0" w:color="auto"/>
            </w:tcBorders>
            <w:shd w:val="clear" w:color="auto" w:fill="auto"/>
            <w:noWrap/>
          </w:tcPr>
          <w:p w14:paraId="21E99696" w14:textId="77777777" w:rsidR="00FA554E" w:rsidRPr="004E2074" w:rsidRDefault="00FA554E" w:rsidP="00BA4FCA">
            <w:pPr>
              <w:jc w:val="right"/>
            </w:pPr>
            <w:r w:rsidRPr="004E2074">
              <w:t>6</w:t>
            </w:r>
          </w:p>
        </w:tc>
        <w:tc>
          <w:tcPr>
            <w:tcW w:w="794" w:type="dxa"/>
            <w:tcBorders>
              <w:top w:val="nil"/>
              <w:left w:val="nil"/>
              <w:bottom w:val="single" w:sz="4" w:space="0" w:color="auto"/>
              <w:right w:val="single" w:sz="4" w:space="0" w:color="auto"/>
            </w:tcBorders>
            <w:shd w:val="clear" w:color="auto" w:fill="auto"/>
            <w:noWrap/>
          </w:tcPr>
          <w:p w14:paraId="1942BA35" w14:textId="77777777" w:rsidR="00FA554E" w:rsidRPr="004E2074" w:rsidRDefault="00FA554E" w:rsidP="00BA4FCA">
            <w:pPr>
              <w:jc w:val="right"/>
            </w:pPr>
            <w:r w:rsidRPr="004E2074">
              <w:t>0</w:t>
            </w:r>
          </w:p>
        </w:tc>
      </w:tr>
      <w:tr w:rsidR="00FA554E" w:rsidRPr="004E2074" w14:paraId="691C2823"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tcPr>
          <w:p w14:paraId="626E41D1" w14:textId="77777777" w:rsidR="00FA554E" w:rsidRPr="004E2074" w:rsidRDefault="00FA554E" w:rsidP="004024CE">
            <w:r w:rsidRPr="004E2074">
              <w:t>Mossman Gorge</w:t>
            </w:r>
          </w:p>
        </w:tc>
        <w:tc>
          <w:tcPr>
            <w:tcW w:w="793" w:type="dxa"/>
            <w:tcBorders>
              <w:top w:val="nil"/>
              <w:left w:val="nil"/>
              <w:bottom w:val="single" w:sz="4" w:space="0" w:color="auto"/>
              <w:right w:val="single" w:sz="4" w:space="0" w:color="auto"/>
            </w:tcBorders>
            <w:shd w:val="clear" w:color="auto" w:fill="auto"/>
            <w:noWrap/>
          </w:tcPr>
          <w:p w14:paraId="3ADFDDF8" w14:textId="77777777" w:rsidR="00FA554E" w:rsidRPr="004E2074" w:rsidRDefault="00FA554E" w:rsidP="00BA4FCA">
            <w:pPr>
              <w:jc w:val="right"/>
            </w:pPr>
            <w:r w:rsidRPr="004E2074">
              <w:t>4</w:t>
            </w:r>
          </w:p>
        </w:tc>
        <w:tc>
          <w:tcPr>
            <w:tcW w:w="794" w:type="dxa"/>
            <w:tcBorders>
              <w:top w:val="nil"/>
              <w:left w:val="nil"/>
              <w:bottom w:val="single" w:sz="4" w:space="0" w:color="auto"/>
              <w:right w:val="single" w:sz="4" w:space="0" w:color="auto"/>
            </w:tcBorders>
            <w:shd w:val="clear" w:color="auto" w:fill="auto"/>
            <w:noWrap/>
          </w:tcPr>
          <w:p w14:paraId="39535447" w14:textId="77777777" w:rsidR="00FA554E" w:rsidRPr="004E2074" w:rsidRDefault="00FA554E" w:rsidP="00BA4FCA">
            <w:pPr>
              <w:jc w:val="right"/>
            </w:pPr>
            <w:r w:rsidRPr="004E2074">
              <w:t>1</w:t>
            </w:r>
          </w:p>
        </w:tc>
        <w:tc>
          <w:tcPr>
            <w:tcW w:w="794" w:type="dxa"/>
            <w:tcBorders>
              <w:top w:val="nil"/>
              <w:left w:val="nil"/>
              <w:bottom w:val="single" w:sz="4" w:space="0" w:color="auto"/>
              <w:right w:val="single" w:sz="4" w:space="0" w:color="auto"/>
            </w:tcBorders>
            <w:shd w:val="clear" w:color="auto" w:fill="auto"/>
            <w:noWrap/>
          </w:tcPr>
          <w:p w14:paraId="4CD4F1D2" w14:textId="77777777" w:rsidR="00FA554E" w:rsidRPr="004E2074" w:rsidRDefault="00FA554E" w:rsidP="00BA4FCA">
            <w:pPr>
              <w:jc w:val="right"/>
            </w:pPr>
            <w:r w:rsidRPr="004E2074">
              <w:t>0</w:t>
            </w:r>
          </w:p>
        </w:tc>
        <w:tc>
          <w:tcPr>
            <w:tcW w:w="794" w:type="dxa"/>
            <w:tcBorders>
              <w:top w:val="nil"/>
              <w:left w:val="nil"/>
              <w:bottom w:val="single" w:sz="4" w:space="0" w:color="auto"/>
              <w:right w:val="single" w:sz="4" w:space="0" w:color="auto"/>
            </w:tcBorders>
            <w:shd w:val="clear" w:color="auto" w:fill="auto"/>
            <w:noWrap/>
          </w:tcPr>
          <w:p w14:paraId="204DF0D0" w14:textId="77777777" w:rsidR="00FA554E" w:rsidRPr="004E2074" w:rsidRDefault="00FA554E" w:rsidP="00BA4FCA">
            <w:pPr>
              <w:jc w:val="right"/>
            </w:pPr>
            <w:r w:rsidRPr="004E2074">
              <w:t>3</w:t>
            </w:r>
          </w:p>
        </w:tc>
      </w:tr>
      <w:tr w:rsidR="00FA554E" w:rsidRPr="004E2074" w14:paraId="1427D3B6" w14:textId="77777777" w:rsidTr="00885D07">
        <w:trPr>
          <w:trHeight w:val="255"/>
        </w:trPr>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783CB8FA" w14:textId="77777777" w:rsidR="00FA554E" w:rsidRPr="00554C37" w:rsidRDefault="00FA554E" w:rsidP="004024CE">
            <w:pPr>
              <w:rPr>
                <w:b/>
                <w:bCs/>
              </w:rPr>
            </w:pPr>
            <w:r w:rsidRPr="00554C37">
              <w:rPr>
                <w:b/>
                <w:bCs/>
              </w:rPr>
              <w:t>Total</w:t>
            </w:r>
          </w:p>
        </w:tc>
        <w:tc>
          <w:tcPr>
            <w:tcW w:w="793" w:type="dxa"/>
            <w:tcBorders>
              <w:top w:val="single" w:sz="4" w:space="0" w:color="auto"/>
              <w:left w:val="nil"/>
              <w:bottom w:val="single" w:sz="4" w:space="0" w:color="auto"/>
              <w:right w:val="single" w:sz="4" w:space="0" w:color="auto"/>
            </w:tcBorders>
            <w:shd w:val="clear" w:color="auto" w:fill="auto"/>
            <w:noWrap/>
          </w:tcPr>
          <w:p w14:paraId="4C914F19" w14:textId="77777777" w:rsidR="00FA554E" w:rsidRPr="00554C37" w:rsidRDefault="00FA554E" w:rsidP="00BA4FCA">
            <w:pPr>
              <w:jc w:val="right"/>
              <w:rPr>
                <w:b/>
                <w:bCs/>
              </w:rPr>
            </w:pPr>
            <w:r w:rsidRPr="00554C37">
              <w:rPr>
                <w:b/>
                <w:bCs/>
              </w:rPr>
              <w:t>83</w:t>
            </w:r>
          </w:p>
        </w:tc>
        <w:tc>
          <w:tcPr>
            <w:tcW w:w="794" w:type="dxa"/>
            <w:tcBorders>
              <w:top w:val="single" w:sz="4" w:space="0" w:color="auto"/>
              <w:left w:val="nil"/>
              <w:bottom w:val="single" w:sz="4" w:space="0" w:color="auto"/>
              <w:right w:val="single" w:sz="4" w:space="0" w:color="auto"/>
            </w:tcBorders>
            <w:shd w:val="clear" w:color="auto" w:fill="auto"/>
            <w:noWrap/>
          </w:tcPr>
          <w:p w14:paraId="7D944AB8" w14:textId="77777777" w:rsidR="00FA554E" w:rsidRPr="00554C37" w:rsidRDefault="00FA554E" w:rsidP="00BA4FCA">
            <w:pPr>
              <w:jc w:val="right"/>
              <w:rPr>
                <w:b/>
                <w:bCs/>
              </w:rPr>
            </w:pPr>
            <w:r w:rsidRPr="00554C37">
              <w:rPr>
                <w:b/>
                <w:bCs/>
              </w:rPr>
              <w:t>53</w:t>
            </w:r>
          </w:p>
        </w:tc>
        <w:tc>
          <w:tcPr>
            <w:tcW w:w="794" w:type="dxa"/>
            <w:tcBorders>
              <w:top w:val="single" w:sz="4" w:space="0" w:color="auto"/>
              <w:left w:val="nil"/>
              <w:bottom w:val="single" w:sz="4" w:space="0" w:color="auto"/>
              <w:right w:val="single" w:sz="4" w:space="0" w:color="auto"/>
            </w:tcBorders>
            <w:shd w:val="clear" w:color="auto" w:fill="auto"/>
            <w:noWrap/>
          </w:tcPr>
          <w:p w14:paraId="3D03707A" w14:textId="77777777" w:rsidR="00FA554E" w:rsidRPr="00554C37" w:rsidRDefault="00FA554E" w:rsidP="00BA4FCA">
            <w:pPr>
              <w:jc w:val="right"/>
              <w:rPr>
                <w:b/>
                <w:bCs/>
              </w:rPr>
            </w:pPr>
            <w:r w:rsidRPr="00554C37">
              <w:rPr>
                <w:b/>
                <w:bCs/>
              </w:rPr>
              <w:t>32</w:t>
            </w:r>
          </w:p>
        </w:tc>
        <w:tc>
          <w:tcPr>
            <w:tcW w:w="794" w:type="dxa"/>
            <w:tcBorders>
              <w:top w:val="single" w:sz="4" w:space="0" w:color="auto"/>
              <w:left w:val="nil"/>
              <w:bottom w:val="single" w:sz="4" w:space="0" w:color="auto"/>
              <w:right w:val="single" w:sz="4" w:space="0" w:color="auto"/>
            </w:tcBorders>
            <w:shd w:val="clear" w:color="auto" w:fill="auto"/>
            <w:noWrap/>
          </w:tcPr>
          <w:p w14:paraId="47FEC712" w14:textId="77777777" w:rsidR="00FA554E" w:rsidRPr="00554C37" w:rsidRDefault="00FA554E" w:rsidP="00BA4FCA">
            <w:pPr>
              <w:jc w:val="right"/>
              <w:rPr>
                <w:b/>
                <w:bCs/>
              </w:rPr>
            </w:pPr>
            <w:r w:rsidRPr="00554C37">
              <w:rPr>
                <w:b/>
                <w:bCs/>
              </w:rPr>
              <w:t>51</w:t>
            </w:r>
          </w:p>
        </w:tc>
      </w:tr>
    </w:tbl>
    <w:p w14:paraId="56F19C3F" w14:textId="62A94956" w:rsidR="00FA554E" w:rsidRDefault="00FA554E" w:rsidP="004024CE"/>
    <w:p w14:paraId="3296BFA4" w14:textId="526C0386" w:rsidR="00DA4AEA" w:rsidRPr="004E2074" w:rsidRDefault="00100F89" w:rsidP="00DA4AEA">
      <w:r>
        <w:br w:type="column"/>
      </w:r>
      <w:r w:rsidR="00DA4AEA" w:rsidRPr="004E2074">
        <w:t>In this reporting period 219 CIM orders were issued to 165 clients. As at 30 June 2020 there were 134 clients subject to a current CIM. CIM remains a flexible tool used by Commissioners to improve the welfare of children by encouraging families to ensure basic household needs are met and to encourage consistency in school attendance.</w:t>
      </w:r>
    </w:p>
    <w:p w14:paraId="136F5EDB" w14:textId="77777777" w:rsidR="00DA4AEA" w:rsidRPr="004E2074" w:rsidRDefault="00DA4AEA" w:rsidP="004024CE"/>
    <w:p w14:paraId="098DAC81" w14:textId="77777777" w:rsidR="00FA554E" w:rsidRPr="004E2074" w:rsidRDefault="00FA554E" w:rsidP="00C77E5F">
      <w:pPr>
        <w:pStyle w:val="Heading3"/>
      </w:pPr>
      <w:r w:rsidRPr="004E2074">
        <w:t>Voluntary income management</w:t>
      </w:r>
    </w:p>
    <w:p w14:paraId="1B1F98B9" w14:textId="02B0EA28" w:rsidR="00FA554E" w:rsidRPr="004E2074" w:rsidRDefault="00FA554E" w:rsidP="004024CE">
      <w:r w:rsidRPr="004E2074">
        <w:t>The Commission processed 2</w:t>
      </w:r>
      <w:r w:rsidR="005323A4">
        <w:t>0</w:t>
      </w:r>
      <w:r w:rsidRPr="004E2074">
        <w:t xml:space="preserve"> VIM agreements </w:t>
      </w:r>
      <w:r w:rsidR="00F655DB">
        <w:t xml:space="preserve">for 18 clients </w:t>
      </w:r>
      <w:r w:rsidRPr="004E2074">
        <w:t>during this reporting period and since the commencement of the Commission in 2008, 15</w:t>
      </w:r>
      <w:r w:rsidR="005323A4">
        <w:t>1</w:t>
      </w:r>
      <w:r w:rsidRPr="004E2074">
        <w:t xml:space="preserve"> clients (9</w:t>
      </w:r>
      <w:r w:rsidR="005323A4">
        <w:t>5</w:t>
      </w:r>
      <w:r w:rsidRPr="004E2074">
        <w:t xml:space="preserve"> female and 56 male) have had an active VIM agreement. As at 30 June 2020 there were 17 clients on a current VIM. VIM provides a practical option for all welfare reform community members to help manage their finances. The Commission has renewed its focus on raising awareness about VIM</w:t>
      </w:r>
      <w:r w:rsidR="007523BB">
        <w:t>s</w:t>
      </w:r>
      <w:r w:rsidRPr="004E2074">
        <w:t xml:space="preserve"> within communities.</w:t>
      </w:r>
    </w:p>
    <w:p w14:paraId="4E405D96" w14:textId="77777777" w:rsidR="005F4E90" w:rsidRDefault="005F4E90" w:rsidP="00901E4A"/>
    <w:p w14:paraId="5C932F17" w14:textId="2C4AD7AA" w:rsidR="00FA554E" w:rsidRPr="004E2074" w:rsidRDefault="00FA554E" w:rsidP="00C77E5F">
      <w:pPr>
        <w:pStyle w:val="Heading3"/>
      </w:pPr>
      <w:r w:rsidRPr="004E2074">
        <w:t>Show cause notices</w:t>
      </w:r>
    </w:p>
    <w:p w14:paraId="15827F9B" w14:textId="77777777" w:rsidR="00FA554E" w:rsidRPr="004E2074" w:rsidRDefault="00FA554E" w:rsidP="004024CE">
      <w:r w:rsidRPr="004E2074">
        <w:t xml:space="preserve">From 1 July 2019 to 30 June 2020, no show </w:t>
      </w:r>
      <w:proofErr w:type="gramStart"/>
      <w:r w:rsidRPr="004E2074">
        <w:t>cause</w:t>
      </w:r>
      <w:proofErr w:type="gramEnd"/>
      <w:r w:rsidRPr="004E2074">
        <w:t xml:space="preserve"> hearings were held.</w:t>
      </w:r>
    </w:p>
    <w:p w14:paraId="47BBAAE8" w14:textId="7B10A2A3" w:rsidR="00FA554E" w:rsidRDefault="00FA554E" w:rsidP="004024CE">
      <w:r w:rsidRPr="004E2074">
        <w:t xml:space="preserve">Show </w:t>
      </w:r>
      <w:proofErr w:type="gramStart"/>
      <w:r w:rsidRPr="004E2074">
        <w:t>cause</w:t>
      </w:r>
      <w:proofErr w:type="gramEnd"/>
      <w:r w:rsidRPr="004E2074">
        <w:t xml:space="preserve"> notices are intended as a conferencing tool to address non-compliance with a requirement under a case plan to attend a community support service. In the past there has been a tendency to use the 90 percent income management rate </w:t>
      </w:r>
      <w:r>
        <w:t>in place of t</w:t>
      </w:r>
      <w:r w:rsidRPr="004E2074">
        <w:t xml:space="preserve">he show cause process. The proposed actions for a show cause notice given to a person include imposing a CIM order, increasing the proportion of the person’s welfare payments to be </w:t>
      </w:r>
      <w:r w:rsidRPr="00196759">
        <w:t>income-managed, or increasing the period for which the</w:t>
      </w:r>
      <w:r w:rsidRPr="004E2074">
        <w:t xml:space="preserve"> person is subject to income management. A review of practices and procedures under the Commission’s new leadership </w:t>
      </w:r>
      <w:r w:rsidR="009F299B">
        <w:t xml:space="preserve">has resulted in the </w:t>
      </w:r>
      <w:r w:rsidRPr="004E2074">
        <w:t xml:space="preserve">reimplementation of a </w:t>
      </w:r>
      <w:r w:rsidR="00402CB4">
        <w:t>s</w:t>
      </w:r>
      <w:r w:rsidRPr="004E2074">
        <w:t xml:space="preserve">how </w:t>
      </w:r>
      <w:r w:rsidR="00402CB4">
        <w:t>c</w:t>
      </w:r>
      <w:r w:rsidRPr="004E2074">
        <w:t xml:space="preserve">ause process. The renewed approach </w:t>
      </w:r>
      <w:r w:rsidR="009F299B">
        <w:t xml:space="preserve">which will be progressively rolled out over the next two quarters </w:t>
      </w:r>
      <w:r w:rsidRPr="004E2074">
        <w:t>makes greater use of changing the proportion of welfare payments subject to income management and the period for which income management will apply to address non-compliance.</w:t>
      </w:r>
    </w:p>
    <w:p w14:paraId="6568A173" w14:textId="77777777" w:rsidR="009D6401" w:rsidRDefault="009D6401">
      <w:pPr>
        <w:spacing w:after="160" w:line="259" w:lineRule="auto"/>
        <w:rPr>
          <w:rFonts w:eastAsiaTheme="majorEastAsia" w:cstheme="majorBidi"/>
          <w:b/>
          <w:sz w:val="24"/>
          <w:szCs w:val="24"/>
        </w:rPr>
      </w:pPr>
      <w:r>
        <w:br w:type="page"/>
      </w:r>
    </w:p>
    <w:p w14:paraId="05987255" w14:textId="1305ED2D" w:rsidR="00FA554E" w:rsidRPr="004E2074" w:rsidRDefault="00FA554E" w:rsidP="00C77E5F">
      <w:pPr>
        <w:pStyle w:val="Heading3"/>
      </w:pPr>
      <w:r w:rsidRPr="004E2074">
        <w:lastRenderedPageBreak/>
        <w:t>Amend or end applications</w:t>
      </w:r>
    </w:p>
    <w:p w14:paraId="4466D782" w14:textId="347FF247" w:rsidR="00FA554E" w:rsidRPr="004E2074" w:rsidRDefault="00FA554E" w:rsidP="004024CE">
      <w:r w:rsidRPr="004E2074">
        <w:t xml:space="preserve">The FRC Act allows clients to apply to amend or end a Commission </w:t>
      </w:r>
      <w:r w:rsidR="004B52BB">
        <w:t xml:space="preserve">agreement or </w:t>
      </w:r>
      <w:r w:rsidRPr="004E2074">
        <w:t xml:space="preserve">order. The Commission views applications to amend or end agreements or orders as an indicator of client confidence in the Commission’s ability to provide a fair, </w:t>
      </w:r>
      <w:proofErr w:type="gramStart"/>
      <w:r w:rsidRPr="004E2074">
        <w:t>just</w:t>
      </w:r>
      <w:proofErr w:type="gramEnd"/>
      <w:r w:rsidRPr="004E2074">
        <w:t xml:space="preserve"> and equitable process.</w:t>
      </w:r>
    </w:p>
    <w:p w14:paraId="38666BA5" w14:textId="6EB3D939" w:rsidR="00FA554E" w:rsidRPr="004E2074" w:rsidRDefault="00FA554E" w:rsidP="004024CE">
      <w:r w:rsidRPr="004E2074">
        <w:t xml:space="preserve">Whether the outcome was successful depends on what the client requested. </w:t>
      </w:r>
      <w:r w:rsidR="00B1778A">
        <w:t xml:space="preserve">This </w:t>
      </w:r>
      <w:r w:rsidRPr="004E2074">
        <w:t xml:space="preserve">year 58.1 percent </w:t>
      </w:r>
      <w:r w:rsidR="00B1778A">
        <w:t xml:space="preserve">of applications </w:t>
      </w:r>
      <w:r w:rsidRPr="004E2074">
        <w:t>were granted. Thirty-six applications resulted in the revocation of income management agreements and orders.</w:t>
      </w:r>
    </w:p>
    <w:p w14:paraId="4C3C757A" w14:textId="77777777" w:rsidR="00FA554E" w:rsidRPr="004E2074" w:rsidRDefault="00FA554E" w:rsidP="004024CE">
      <w:r w:rsidRPr="004E2074">
        <w:t xml:space="preserve">Applications to amend or end voluntary income management are heard in the conference setting, unless the client indicates to the Commission the request requires urgent attention. If so, the application may be </w:t>
      </w:r>
      <w:proofErr w:type="gramStart"/>
      <w:r>
        <w:t>considered</w:t>
      </w:r>
      <w:proofErr w:type="gramEnd"/>
      <w:r w:rsidRPr="004E2074">
        <w:t xml:space="preserve"> and a decision made outside of a scheduled conference date.</w:t>
      </w:r>
    </w:p>
    <w:p w14:paraId="4673AFAC" w14:textId="1B7AD179" w:rsidR="00FA554E" w:rsidRPr="004E2074" w:rsidRDefault="00FA554E" w:rsidP="004024CE">
      <w:r w:rsidRPr="004E2074">
        <w:t>From 1 July 2019 to 30 June 2020</w:t>
      </w:r>
      <w:r w:rsidR="00081DC1">
        <w:t>,</w:t>
      </w:r>
      <w:r w:rsidRPr="004E2074">
        <w:t xml:space="preserve"> a total of 62 applications (46 female and 16 male) to amend or end an agreement or order were received. The applications resulted in 36 applications being granted, 5 applications resulted in a revised order or agreement, 19 applications were refused, 1 application was withdrawn by the client and 1 application was received at the end of the financial year with the decision pending.</w:t>
      </w:r>
    </w:p>
    <w:p w14:paraId="5F2737F8" w14:textId="3D8B1455" w:rsidR="00FA554E" w:rsidRPr="00792BF3" w:rsidRDefault="005E5D33" w:rsidP="00792BF3">
      <w:pPr>
        <w:ind w:left="720" w:hanging="720"/>
        <w:rPr>
          <w:rFonts w:ascii="Helvetica" w:hAnsi="Helvetica" w:cs="Helvetica"/>
          <w:b/>
          <w:bCs/>
          <w:sz w:val="17"/>
          <w:szCs w:val="17"/>
          <w:lang w:val="en-US"/>
        </w:rPr>
      </w:pPr>
      <w:r>
        <w:rPr>
          <w:rFonts w:ascii="Helvetica" w:hAnsi="Helvetica" w:cs="Helvetica"/>
          <w:b/>
          <w:bCs/>
          <w:sz w:val="17"/>
          <w:szCs w:val="17"/>
          <w:lang w:val="en-US"/>
        </w:rPr>
        <w:t>Table</w:t>
      </w:r>
      <w:r w:rsidR="00FA554E" w:rsidRPr="00792BF3">
        <w:rPr>
          <w:rFonts w:ascii="Helvetica" w:hAnsi="Helvetica" w:cs="Helvetica"/>
          <w:b/>
          <w:bCs/>
          <w:sz w:val="17"/>
          <w:szCs w:val="17"/>
          <w:lang w:val="en-US"/>
        </w:rPr>
        <w:t xml:space="preserve"> 1</w:t>
      </w:r>
      <w:r w:rsidR="00110290">
        <w:rPr>
          <w:rFonts w:ascii="Helvetica" w:hAnsi="Helvetica" w:cs="Helvetica"/>
          <w:b/>
          <w:bCs/>
          <w:sz w:val="17"/>
          <w:szCs w:val="17"/>
          <w:lang w:val="en-US"/>
        </w:rPr>
        <w:t>1</w:t>
      </w:r>
      <w:r w:rsidR="00FA554E" w:rsidRPr="00792BF3">
        <w:rPr>
          <w:rFonts w:ascii="Helvetica" w:hAnsi="Helvetica" w:cs="Helvetica"/>
          <w:b/>
          <w:bCs/>
          <w:sz w:val="17"/>
          <w:szCs w:val="17"/>
          <w:lang w:val="en-US"/>
        </w:rPr>
        <w:t>: Applications to amend or end agreements or orders by community and quarter 1 July 2019 to 30 June 2020.</w:t>
      </w:r>
    </w:p>
    <w:tbl>
      <w:tblPr>
        <w:tblW w:w="5013" w:type="dxa"/>
        <w:tblLayout w:type="fixed"/>
        <w:tblLook w:val="04A0" w:firstRow="1" w:lastRow="0" w:firstColumn="1" w:lastColumn="0" w:noHBand="0" w:noVBand="1"/>
      </w:tblPr>
      <w:tblGrid>
        <w:gridCol w:w="1838"/>
        <w:gridCol w:w="793"/>
        <w:gridCol w:w="794"/>
        <w:gridCol w:w="794"/>
        <w:gridCol w:w="794"/>
      </w:tblGrid>
      <w:tr w:rsidR="00FA554E" w:rsidRPr="004E2074" w14:paraId="70CC5521" w14:textId="77777777" w:rsidTr="00061BEF">
        <w:trPr>
          <w:trHeight w:val="510"/>
        </w:trPr>
        <w:tc>
          <w:tcPr>
            <w:tcW w:w="1838" w:type="dxa"/>
            <w:tcBorders>
              <w:top w:val="single" w:sz="4" w:space="0" w:color="auto"/>
              <w:left w:val="single" w:sz="4" w:space="0" w:color="auto"/>
              <w:bottom w:val="single" w:sz="4" w:space="0" w:color="auto"/>
              <w:right w:val="single" w:sz="4" w:space="0" w:color="auto"/>
            </w:tcBorders>
            <w:shd w:val="clear" w:color="auto" w:fill="808080" w:themeFill="background1" w:themeFillShade="80"/>
            <w:noWrap/>
            <w:hideMark/>
          </w:tcPr>
          <w:p w14:paraId="7E9B00CD" w14:textId="271D334C" w:rsidR="00FA554E" w:rsidRPr="007519D3" w:rsidRDefault="00FA554E" w:rsidP="004024CE">
            <w:pPr>
              <w:rPr>
                <w:b/>
                <w:bCs/>
                <w:color w:val="FFFFFF" w:themeColor="background1"/>
              </w:rPr>
            </w:pPr>
            <w:r w:rsidRPr="007519D3">
              <w:rPr>
                <w:b/>
                <w:bCs/>
                <w:color w:val="FFFFFF" w:themeColor="background1"/>
              </w:rPr>
              <w:t xml:space="preserve">Number of </w:t>
            </w:r>
            <w:r w:rsidR="008D2038">
              <w:rPr>
                <w:b/>
                <w:bCs/>
                <w:color w:val="FFFFFF" w:themeColor="background1"/>
              </w:rPr>
              <w:t>a</w:t>
            </w:r>
            <w:r w:rsidRPr="007519D3">
              <w:rPr>
                <w:b/>
                <w:bCs/>
                <w:color w:val="FFFFFF" w:themeColor="background1"/>
              </w:rPr>
              <w:t>pplications</w:t>
            </w:r>
          </w:p>
        </w:tc>
        <w:tc>
          <w:tcPr>
            <w:tcW w:w="793" w:type="dxa"/>
            <w:tcBorders>
              <w:top w:val="single" w:sz="4" w:space="0" w:color="auto"/>
              <w:left w:val="nil"/>
              <w:bottom w:val="single" w:sz="4" w:space="0" w:color="auto"/>
              <w:right w:val="single" w:sz="4" w:space="0" w:color="auto"/>
            </w:tcBorders>
            <w:shd w:val="clear" w:color="auto" w:fill="808080" w:themeFill="background1" w:themeFillShade="80"/>
            <w:hideMark/>
          </w:tcPr>
          <w:p w14:paraId="1B7AC544"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45</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4FEE80DE"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46</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0BD2A336"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47</w:t>
            </w:r>
          </w:p>
        </w:tc>
        <w:tc>
          <w:tcPr>
            <w:tcW w:w="794" w:type="dxa"/>
            <w:tcBorders>
              <w:top w:val="single" w:sz="4" w:space="0" w:color="auto"/>
              <w:left w:val="nil"/>
              <w:bottom w:val="single" w:sz="4" w:space="0" w:color="auto"/>
              <w:right w:val="single" w:sz="4" w:space="0" w:color="auto"/>
            </w:tcBorders>
            <w:shd w:val="clear" w:color="auto" w:fill="808080" w:themeFill="background1" w:themeFillShade="80"/>
            <w:hideMark/>
          </w:tcPr>
          <w:p w14:paraId="2ACC0AF0" w14:textId="77777777" w:rsidR="00FA554E" w:rsidRPr="007519D3" w:rsidRDefault="00FA554E" w:rsidP="00BA4FCA">
            <w:pPr>
              <w:jc w:val="right"/>
              <w:rPr>
                <w:b/>
                <w:bCs/>
                <w:color w:val="FFFFFF" w:themeColor="background1"/>
              </w:rPr>
            </w:pPr>
            <w:proofErr w:type="spellStart"/>
            <w:r w:rsidRPr="007519D3">
              <w:rPr>
                <w:b/>
                <w:bCs/>
                <w:color w:val="FFFFFF" w:themeColor="background1"/>
              </w:rPr>
              <w:t>Qtr</w:t>
            </w:r>
            <w:proofErr w:type="spellEnd"/>
            <w:r w:rsidRPr="007519D3">
              <w:rPr>
                <w:b/>
                <w:bCs/>
                <w:color w:val="FFFFFF" w:themeColor="background1"/>
              </w:rPr>
              <w:t xml:space="preserve"> 48</w:t>
            </w:r>
          </w:p>
        </w:tc>
      </w:tr>
      <w:tr w:rsidR="00FA554E" w:rsidRPr="004E2074" w14:paraId="31B92174"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69EAB8D0" w14:textId="77777777" w:rsidR="00FA554E" w:rsidRPr="004E2074" w:rsidRDefault="00FA554E" w:rsidP="004024CE">
            <w:r w:rsidRPr="004E2074">
              <w:t>Aurukun</w:t>
            </w:r>
          </w:p>
        </w:tc>
        <w:tc>
          <w:tcPr>
            <w:tcW w:w="793" w:type="dxa"/>
            <w:tcBorders>
              <w:top w:val="nil"/>
              <w:left w:val="nil"/>
              <w:bottom w:val="single" w:sz="4" w:space="0" w:color="auto"/>
              <w:right w:val="single" w:sz="4" w:space="0" w:color="auto"/>
            </w:tcBorders>
            <w:shd w:val="clear" w:color="auto" w:fill="auto"/>
            <w:noWrap/>
          </w:tcPr>
          <w:p w14:paraId="6CC0FE11" w14:textId="77777777" w:rsidR="00FA554E" w:rsidRPr="004E2074" w:rsidRDefault="00FA554E" w:rsidP="00BA4FCA">
            <w:pPr>
              <w:jc w:val="right"/>
            </w:pPr>
            <w:r w:rsidRPr="004E2074">
              <w:t>6</w:t>
            </w:r>
          </w:p>
        </w:tc>
        <w:tc>
          <w:tcPr>
            <w:tcW w:w="794" w:type="dxa"/>
            <w:tcBorders>
              <w:top w:val="nil"/>
              <w:left w:val="nil"/>
              <w:bottom w:val="single" w:sz="4" w:space="0" w:color="auto"/>
              <w:right w:val="single" w:sz="4" w:space="0" w:color="auto"/>
            </w:tcBorders>
            <w:shd w:val="clear" w:color="auto" w:fill="auto"/>
            <w:noWrap/>
          </w:tcPr>
          <w:p w14:paraId="42DFD1B4" w14:textId="77777777" w:rsidR="00FA554E" w:rsidRPr="004E2074" w:rsidRDefault="00FA554E" w:rsidP="00BA4FCA">
            <w:pPr>
              <w:jc w:val="right"/>
            </w:pPr>
            <w:r w:rsidRPr="004E2074">
              <w:t>2</w:t>
            </w:r>
          </w:p>
        </w:tc>
        <w:tc>
          <w:tcPr>
            <w:tcW w:w="794" w:type="dxa"/>
            <w:tcBorders>
              <w:top w:val="nil"/>
              <w:left w:val="nil"/>
              <w:bottom w:val="single" w:sz="4" w:space="0" w:color="auto"/>
              <w:right w:val="single" w:sz="4" w:space="0" w:color="auto"/>
            </w:tcBorders>
            <w:shd w:val="clear" w:color="auto" w:fill="auto"/>
            <w:noWrap/>
          </w:tcPr>
          <w:p w14:paraId="1F7CC63A" w14:textId="77777777" w:rsidR="00FA554E" w:rsidRPr="004E2074" w:rsidRDefault="00FA554E" w:rsidP="00BA4FCA">
            <w:pPr>
              <w:jc w:val="right"/>
            </w:pPr>
            <w:r w:rsidRPr="004E2074">
              <w:t>15</w:t>
            </w:r>
          </w:p>
        </w:tc>
        <w:tc>
          <w:tcPr>
            <w:tcW w:w="794" w:type="dxa"/>
            <w:tcBorders>
              <w:top w:val="nil"/>
              <w:left w:val="nil"/>
              <w:bottom w:val="single" w:sz="4" w:space="0" w:color="auto"/>
              <w:right w:val="single" w:sz="4" w:space="0" w:color="auto"/>
            </w:tcBorders>
            <w:shd w:val="clear" w:color="auto" w:fill="auto"/>
            <w:noWrap/>
          </w:tcPr>
          <w:p w14:paraId="10CD5EC3" w14:textId="77777777" w:rsidR="00FA554E" w:rsidRPr="004E2074" w:rsidRDefault="00FA554E" w:rsidP="00BA4FCA">
            <w:pPr>
              <w:jc w:val="right"/>
            </w:pPr>
            <w:r w:rsidRPr="004E2074">
              <w:t>6</w:t>
            </w:r>
          </w:p>
        </w:tc>
      </w:tr>
      <w:tr w:rsidR="00FA554E" w:rsidRPr="004E2074" w14:paraId="143C415C"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264524FA" w14:textId="77777777" w:rsidR="00FA554E" w:rsidRPr="004E2074" w:rsidRDefault="00FA554E" w:rsidP="004024CE">
            <w:r w:rsidRPr="004E2074">
              <w:t>Coen</w:t>
            </w:r>
          </w:p>
        </w:tc>
        <w:tc>
          <w:tcPr>
            <w:tcW w:w="793" w:type="dxa"/>
            <w:tcBorders>
              <w:top w:val="nil"/>
              <w:left w:val="nil"/>
              <w:bottom w:val="single" w:sz="4" w:space="0" w:color="auto"/>
              <w:right w:val="single" w:sz="4" w:space="0" w:color="auto"/>
            </w:tcBorders>
            <w:shd w:val="clear" w:color="auto" w:fill="auto"/>
            <w:noWrap/>
          </w:tcPr>
          <w:p w14:paraId="45A84963" w14:textId="77777777" w:rsidR="00FA554E" w:rsidRPr="004E2074" w:rsidRDefault="00FA554E" w:rsidP="00BA4FCA">
            <w:pPr>
              <w:jc w:val="right"/>
            </w:pPr>
            <w:r w:rsidRPr="004E2074">
              <w:t>1</w:t>
            </w:r>
          </w:p>
        </w:tc>
        <w:tc>
          <w:tcPr>
            <w:tcW w:w="794" w:type="dxa"/>
            <w:tcBorders>
              <w:top w:val="nil"/>
              <w:left w:val="nil"/>
              <w:bottom w:val="single" w:sz="4" w:space="0" w:color="auto"/>
              <w:right w:val="single" w:sz="4" w:space="0" w:color="auto"/>
            </w:tcBorders>
            <w:shd w:val="clear" w:color="auto" w:fill="auto"/>
            <w:noWrap/>
          </w:tcPr>
          <w:p w14:paraId="64142824" w14:textId="77777777" w:rsidR="00FA554E" w:rsidRPr="004E2074" w:rsidRDefault="00FA554E" w:rsidP="00BA4FCA">
            <w:pPr>
              <w:jc w:val="right"/>
            </w:pPr>
            <w:r w:rsidRPr="004E2074">
              <w:t>0</w:t>
            </w:r>
          </w:p>
        </w:tc>
        <w:tc>
          <w:tcPr>
            <w:tcW w:w="794" w:type="dxa"/>
            <w:tcBorders>
              <w:top w:val="nil"/>
              <w:left w:val="nil"/>
              <w:bottom w:val="single" w:sz="4" w:space="0" w:color="auto"/>
              <w:right w:val="single" w:sz="4" w:space="0" w:color="auto"/>
            </w:tcBorders>
            <w:shd w:val="clear" w:color="auto" w:fill="auto"/>
            <w:noWrap/>
          </w:tcPr>
          <w:p w14:paraId="7454CA5C" w14:textId="77777777" w:rsidR="00FA554E" w:rsidRPr="004E2074" w:rsidRDefault="00FA554E" w:rsidP="00BA4FCA">
            <w:pPr>
              <w:jc w:val="right"/>
            </w:pPr>
            <w:r w:rsidRPr="004E2074">
              <w:t>0</w:t>
            </w:r>
          </w:p>
        </w:tc>
        <w:tc>
          <w:tcPr>
            <w:tcW w:w="794" w:type="dxa"/>
            <w:tcBorders>
              <w:top w:val="nil"/>
              <w:left w:val="nil"/>
              <w:bottom w:val="single" w:sz="4" w:space="0" w:color="auto"/>
              <w:right w:val="single" w:sz="4" w:space="0" w:color="auto"/>
            </w:tcBorders>
            <w:shd w:val="clear" w:color="auto" w:fill="auto"/>
            <w:noWrap/>
          </w:tcPr>
          <w:p w14:paraId="73E43117" w14:textId="77777777" w:rsidR="00FA554E" w:rsidRPr="004E2074" w:rsidRDefault="00FA554E" w:rsidP="00BA4FCA">
            <w:pPr>
              <w:jc w:val="right"/>
            </w:pPr>
            <w:r w:rsidRPr="004E2074">
              <w:t>0</w:t>
            </w:r>
          </w:p>
        </w:tc>
      </w:tr>
      <w:tr w:rsidR="00FA554E" w:rsidRPr="004E2074" w14:paraId="64FCB3D2"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tcPr>
          <w:p w14:paraId="66A41F97" w14:textId="77777777" w:rsidR="00FA554E" w:rsidRPr="004E2074" w:rsidRDefault="00FA554E" w:rsidP="004024CE">
            <w:r w:rsidRPr="004E2074">
              <w:t>Doomadgee</w:t>
            </w:r>
          </w:p>
        </w:tc>
        <w:tc>
          <w:tcPr>
            <w:tcW w:w="793" w:type="dxa"/>
            <w:tcBorders>
              <w:top w:val="nil"/>
              <w:left w:val="nil"/>
              <w:bottom w:val="single" w:sz="4" w:space="0" w:color="auto"/>
              <w:right w:val="single" w:sz="4" w:space="0" w:color="auto"/>
            </w:tcBorders>
            <w:shd w:val="clear" w:color="auto" w:fill="auto"/>
            <w:noWrap/>
          </w:tcPr>
          <w:p w14:paraId="415CD466" w14:textId="77777777" w:rsidR="00FA554E" w:rsidRPr="004E2074" w:rsidRDefault="00FA554E" w:rsidP="00BA4FCA">
            <w:pPr>
              <w:jc w:val="right"/>
            </w:pPr>
            <w:r w:rsidRPr="004E2074">
              <w:t>6</w:t>
            </w:r>
          </w:p>
        </w:tc>
        <w:tc>
          <w:tcPr>
            <w:tcW w:w="794" w:type="dxa"/>
            <w:tcBorders>
              <w:top w:val="nil"/>
              <w:left w:val="nil"/>
              <w:bottom w:val="single" w:sz="4" w:space="0" w:color="auto"/>
              <w:right w:val="single" w:sz="4" w:space="0" w:color="auto"/>
            </w:tcBorders>
            <w:shd w:val="clear" w:color="auto" w:fill="auto"/>
            <w:noWrap/>
          </w:tcPr>
          <w:p w14:paraId="214D2027" w14:textId="77777777" w:rsidR="00FA554E" w:rsidRPr="004E2074" w:rsidRDefault="00FA554E" w:rsidP="00BA4FCA">
            <w:pPr>
              <w:jc w:val="right"/>
            </w:pPr>
            <w:r w:rsidRPr="004E2074">
              <w:t>6</w:t>
            </w:r>
          </w:p>
        </w:tc>
        <w:tc>
          <w:tcPr>
            <w:tcW w:w="794" w:type="dxa"/>
            <w:tcBorders>
              <w:top w:val="nil"/>
              <w:left w:val="nil"/>
              <w:bottom w:val="single" w:sz="4" w:space="0" w:color="auto"/>
              <w:right w:val="single" w:sz="4" w:space="0" w:color="auto"/>
            </w:tcBorders>
            <w:shd w:val="clear" w:color="auto" w:fill="auto"/>
            <w:noWrap/>
          </w:tcPr>
          <w:p w14:paraId="26D73C81" w14:textId="77777777" w:rsidR="00FA554E" w:rsidRPr="004E2074" w:rsidRDefault="00FA554E" w:rsidP="00BA4FCA">
            <w:pPr>
              <w:jc w:val="right"/>
            </w:pPr>
            <w:r w:rsidRPr="004E2074">
              <w:t>1</w:t>
            </w:r>
          </w:p>
        </w:tc>
        <w:tc>
          <w:tcPr>
            <w:tcW w:w="794" w:type="dxa"/>
            <w:tcBorders>
              <w:top w:val="nil"/>
              <w:left w:val="nil"/>
              <w:bottom w:val="single" w:sz="4" w:space="0" w:color="auto"/>
              <w:right w:val="single" w:sz="4" w:space="0" w:color="auto"/>
            </w:tcBorders>
            <w:shd w:val="clear" w:color="auto" w:fill="auto"/>
            <w:noWrap/>
          </w:tcPr>
          <w:p w14:paraId="2A38ED84" w14:textId="77777777" w:rsidR="00FA554E" w:rsidRPr="004E2074" w:rsidRDefault="00FA554E" w:rsidP="00BA4FCA">
            <w:pPr>
              <w:jc w:val="right"/>
            </w:pPr>
            <w:r w:rsidRPr="004E2074">
              <w:t>1</w:t>
            </w:r>
          </w:p>
        </w:tc>
      </w:tr>
      <w:tr w:rsidR="00FA554E" w:rsidRPr="004E2074" w14:paraId="6779D198"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hideMark/>
          </w:tcPr>
          <w:p w14:paraId="4D8B7B72" w14:textId="77777777" w:rsidR="00FA554E" w:rsidRPr="004E2074" w:rsidRDefault="00FA554E" w:rsidP="004024CE">
            <w:r w:rsidRPr="004E2074">
              <w:t>Hope Vale</w:t>
            </w:r>
          </w:p>
        </w:tc>
        <w:tc>
          <w:tcPr>
            <w:tcW w:w="793" w:type="dxa"/>
            <w:tcBorders>
              <w:top w:val="nil"/>
              <w:left w:val="nil"/>
              <w:bottom w:val="single" w:sz="4" w:space="0" w:color="auto"/>
              <w:right w:val="single" w:sz="4" w:space="0" w:color="auto"/>
            </w:tcBorders>
            <w:shd w:val="clear" w:color="auto" w:fill="auto"/>
            <w:noWrap/>
          </w:tcPr>
          <w:p w14:paraId="7B0B9D6D" w14:textId="77777777" w:rsidR="00FA554E" w:rsidRPr="004E2074" w:rsidRDefault="00FA554E" w:rsidP="00BA4FCA">
            <w:pPr>
              <w:jc w:val="right"/>
            </w:pPr>
            <w:r w:rsidRPr="004E2074">
              <w:t>3</w:t>
            </w:r>
          </w:p>
        </w:tc>
        <w:tc>
          <w:tcPr>
            <w:tcW w:w="794" w:type="dxa"/>
            <w:tcBorders>
              <w:top w:val="nil"/>
              <w:left w:val="nil"/>
              <w:bottom w:val="single" w:sz="4" w:space="0" w:color="auto"/>
              <w:right w:val="single" w:sz="4" w:space="0" w:color="auto"/>
            </w:tcBorders>
            <w:shd w:val="clear" w:color="auto" w:fill="auto"/>
            <w:noWrap/>
          </w:tcPr>
          <w:p w14:paraId="07A356B6" w14:textId="77777777" w:rsidR="00FA554E" w:rsidRPr="004E2074" w:rsidRDefault="00FA554E" w:rsidP="00BA4FCA">
            <w:pPr>
              <w:jc w:val="right"/>
            </w:pPr>
            <w:r w:rsidRPr="004E2074">
              <w:t>5</w:t>
            </w:r>
          </w:p>
        </w:tc>
        <w:tc>
          <w:tcPr>
            <w:tcW w:w="794" w:type="dxa"/>
            <w:tcBorders>
              <w:top w:val="nil"/>
              <w:left w:val="nil"/>
              <w:bottom w:val="single" w:sz="4" w:space="0" w:color="auto"/>
              <w:right w:val="single" w:sz="4" w:space="0" w:color="auto"/>
            </w:tcBorders>
            <w:shd w:val="clear" w:color="auto" w:fill="auto"/>
            <w:noWrap/>
          </w:tcPr>
          <w:p w14:paraId="20423E30" w14:textId="77777777" w:rsidR="00FA554E" w:rsidRPr="004E2074" w:rsidRDefault="00FA554E" w:rsidP="00BA4FCA">
            <w:pPr>
              <w:jc w:val="right"/>
            </w:pPr>
            <w:r w:rsidRPr="004E2074">
              <w:t>2</w:t>
            </w:r>
          </w:p>
        </w:tc>
        <w:tc>
          <w:tcPr>
            <w:tcW w:w="794" w:type="dxa"/>
            <w:tcBorders>
              <w:top w:val="nil"/>
              <w:left w:val="nil"/>
              <w:bottom w:val="single" w:sz="4" w:space="0" w:color="auto"/>
              <w:right w:val="single" w:sz="4" w:space="0" w:color="auto"/>
            </w:tcBorders>
            <w:shd w:val="clear" w:color="auto" w:fill="auto"/>
            <w:noWrap/>
          </w:tcPr>
          <w:p w14:paraId="28588883" w14:textId="77777777" w:rsidR="00FA554E" w:rsidRPr="004E2074" w:rsidRDefault="00FA554E" w:rsidP="00BA4FCA">
            <w:pPr>
              <w:jc w:val="right"/>
            </w:pPr>
            <w:r w:rsidRPr="004E2074">
              <w:t>3</w:t>
            </w:r>
          </w:p>
        </w:tc>
      </w:tr>
      <w:tr w:rsidR="00FA554E" w:rsidRPr="004E2074" w14:paraId="325EF93A" w14:textId="77777777" w:rsidTr="00885D07">
        <w:trPr>
          <w:trHeight w:val="255"/>
        </w:trPr>
        <w:tc>
          <w:tcPr>
            <w:tcW w:w="1838" w:type="dxa"/>
            <w:tcBorders>
              <w:top w:val="nil"/>
              <w:left w:val="single" w:sz="4" w:space="0" w:color="auto"/>
              <w:bottom w:val="single" w:sz="4" w:space="0" w:color="auto"/>
              <w:right w:val="single" w:sz="4" w:space="0" w:color="auto"/>
            </w:tcBorders>
            <w:shd w:val="clear" w:color="auto" w:fill="auto"/>
            <w:noWrap/>
          </w:tcPr>
          <w:p w14:paraId="476AA36A" w14:textId="77777777" w:rsidR="00FA554E" w:rsidRPr="004E2074" w:rsidRDefault="00FA554E" w:rsidP="004024CE">
            <w:r w:rsidRPr="004E2074">
              <w:t>Mossman Gorge</w:t>
            </w:r>
          </w:p>
        </w:tc>
        <w:tc>
          <w:tcPr>
            <w:tcW w:w="793" w:type="dxa"/>
            <w:tcBorders>
              <w:top w:val="nil"/>
              <w:left w:val="nil"/>
              <w:bottom w:val="single" w:sz="4" w:space="0" w:color="auto"/>
              <w:right w:val="single" w:sz="4" w:space="0" w:color="auto"/>
            </w:tcBorders>
            <w:shd w:val="clear" w:color="auto" w:fill="auto"/>
            <w:noWrap/>
          </w:tcPr>
          <w:p w14:paraId="610BE243" w14:textId="77777777" w:rsidR="00FA554E" w:rsidRPr="004E2074" w:rsidRDefault="00FA554E" w:rsidP="00BA4FCA">
            <w:pPr>
              <w:jc w:val="right"/>
            </w:pPr>
            <w:r w:rsidRPr="004E2074">
              <w:t>1</w:t>
            </w:r>
          </w:p>
        </w:tc>
        <w:tc>
          <w:tcPr>
            <w:tcW w:w="794" w:type="dxa"/>
            <w:tcBorders>
              <w:top w:val="nil"/>
              <w:left w:val="nil"/>
              <w:bottom w:val="single" w:sz="4" w:space="0" w:color="auto"/>
              <w:right w:val="single" w:sz="4" w:space="0" w:color="auto"/>
            </w:tcBorders>
            <w:shd w:val="clear" w:color="auto" w:fill="auto"/>
            <w:noWrap/>
          </w:tcPr>
          <w:p w14:paraId="1FF40C7E" w14:textId="77777777" w:rsidR="00FA554E" w:rsidRPr="004E2074" w:rsidRDefault="00FA554E" w:rsidP="00BA4FCA">
            <w:pPr>
              <w:jc w:val="right"/>
            </w:pPr>
            <w:r w:rsidRPr="004E2074">
              <w:t>2</w:t>
            </w:r>
          </w:p>
        </w:tc>
        <w:tc>
          <w:tcPr>
            <w:tcW w:w="794" w:type="dxa"/>
            <w:tcBorders>
              <w:top w:val="nil"/>
              <w:left w:val="nil"/>
              <w:bottom w:val="single" w:sz="4" w:space="0" w:color="auto"/>
              <w:right w:val="single" w:sz="4" w:space="0" w:color="auto"/>
            </w:tcBorders>
            <w:shd w:val="clear" w:color="auto" w:fill="auto"/>
            <w:noWrap/>
          </w:tcPr>
          <w:p w14:paraId="709003AE" w14:textId="77777777" w:rsidR="00FA554E" w:rsidRPr="004E2074" w:rsidRDefault="00FA554E" w:rsidP="00BA4FCA">
            <w:pPr>
              <w:jc w:val="right"/>
            </w:pPr>
            <w:r w:rsidRPr="004E2074">
              <w:t>0</w:t>
            </w:r>
          </w:p>
        </w:tc>
        <w:tc>
          <w:tcPr>
            <w:tcW w:w="794" w:type="dxa"/>
            <w:tcBorders>
              <w:top w:val="nil"/>
              <w:left w:val="nil"/>
              <w:bottom w:val="single" w:sz="4" w:space="0" w:color="auto"/>
              <w:right w:val="single" w:sz="4" w:space="0" w:color="auto"/>
            </w:tcBorders>
            <w:shd w:val="clear" w:color="auto" w:fill="auto"/>
            <w:noWrap/>
          </w:tcPr>
          <w:p w14:paraId="5FEA161B" w14:textId="77777777" w:rsidR="00FA554E" w:rsidRPr="004E2074" w:rsidRDefault="00FA554E" w:rsidP="00BA4FCA">
            <w:pPr>
              <w:jc w:val="right"/>
            </w:pPr>
            <w:r w:rsidRPr="004E2074">
              <w:t>2</w:t>
            </w:r>
          </w:p>
        </w:tc>
      </w:tr>
      <w:tr w:rsidR="00FA554E" w:rsidRPr="004E2074" w14:paraId="53DCCE1E" w14:textId="77777777" w:rsidTr="00885D07">
        <w:trPr>
          <w:trHeight w:val="255"/>
        </w:trPr>
        <w:tc>
          <w:tcPr>
            <w:tcW w:w="1838" w:type="dxa"/>
            <w:tcBorders>
              <w:top w:val="single" w:sz="4" w:space="0" w:color="auto"/>
              <w:left w:val="single" w:sz="4" w:space="0" w:color="auto"/>
              <w:bottom w:val="single" w:sz="4" w:space="0" w:color="auto"/>
              <w:right w:val="single" w:sz="4" w:space="0" w:color="auto"/>
            </w:tcBorders>
            <w:shd w:val="clear" w:color="auto" w:fill="auto"/>
            <w:noWrap/>
          </w:tcPr>
          <w:p w14:paraId="008C03BC" w14:textId="77777777" w:rsidR="00FA554E" w:rsidRPr="00554C37" w:rsidRDefault="00FA554E" w:rsidP="004024CE">
            <w:pPr>
              <w:rPr>
                <w:b/>
                <w:bCs/>
              </w:rPr>
            </w:pPr>
            <w:r w:rsidRPr="00554C37">
              <w:rPr>
                <w:b/>
                <w:bCs/>
              </w:rPr>
              <w:t>Total</w:t>
            </w:r>
          </w:p>
        </w:tc>
        <w:tc>
          <w:tcPr>
            <w:tcW w:w="793" w:type="dxa"/>
            <w:tcBorders>
              <w:top w:val="single" w:sz="4" w:space="0" w:color="auto"/>
              <w:left w:val="nil"/>
              <w:bottom w:val="single" w:sz="4" w:space="0" w:color="auto"/>
              <w:right w:val="single" w:sz="4" w:space="0" w:color="auto"/>
            </w:tcBorders>
            <w:shd w:val="clear" w:color="auto" w:fill="auto"/>
            <w:noWrap/>
          </w:tcPr>
          <w:p w14:paraId="1677F8B9" w14:textId="77777777" w:rsidR="00FA554E" w:rsidRPr="00554C37" w:rsidRDefault="00FA554E" w:rsidP="00BA4FCA">
            <w:pPr>
              <w:jc w:val="right"/>
              <w:rPr>
                <w:b/>
                <w:bCs/>
              </w:rPr>
            </w:pPr>
            <w:r w:rsidRPr="00554C37">
              <w:rPr>
                <w:b/>
                <w:bCs/>
              </w:rPr>
              <w:t>17</w:t>
            </w:r>
          </w:p>
        </w:tc>
        <w:tc>
          <w:tcPr>
            <w:tcW w:w="794" w:type="dxa"/>
            <w:tcBorders>
              <w:top w:val="single" w:sz="4" w:space="0" w:color="auto"/>
              <w:left w:val="nil"/>
              <w:bottom w:val="single" w:sz="4" w:space="0" w:color="auto"/>
              <w:right w:val="single" w:sz="4" w:space="0" w:color="auto"/>
            </w:tcBorders>
            <w:shd w:val="clear" w:color="auto" w:fill="auto"/>
            <w:noWrap/>
          </w:tcPr>
          <w:p w14:paraId="138D983E" w14:textId="77777777" w:rsidR="00FA554E" w:rsidRPr="00554C37" w:rsidRDefault="00FA554E" w:rsidP="00BA4FCA">
            <w:pPr>
              <w:jc w:val="right"/>
              <w:rPr>
                <w:b/>
                <w:bCs/>
              </w:rPr>
            </w:pPr>
            <w:r w:rsidRPr="00554C37">
              <w:rPr>
                <w:b/>
                <w:bCs/>
              </w:rPr>
              <w:t>15</w:t>
            </w:r>
          </w:p>
        </w:tc>
        <w:tc>
          <w:tcPr>
            <w:tcW w:w="794" w:type="dxa"/>
            <w:tcBorders>
              <w:top w:val="single" w:sz="4" w:space="0" w:color="auto"/>
              <w:left w:val="nil"/>
              <w:bottom w:val="single" w:sz="4" w:space="0" w:color="auto"/>
              <w:right w:val="single" w:sz="4" w:space="0" w:color="auto"/>
            </w:tcBorders>
            <w:shd w:val="clear" w:color="auto" w:fill="auto"/>
            <w:noWrap/>
          </w:tcPr>
          <w:p w14:paraId="3A1648FF" w14:textId="77777777" w:rsidR="00FA554E" w:rsidRPr="00554C37" w:rsidRDefault="00FA554E" w:rsidP="00BA4FCA">
            <w:pPr>
              <w:jc w:val="right"/>
              <w:rPr>
                <w:b/>
                <w:bCs/>
              </w:rPr>
            </w:pPr>
            <w:r w:rsidRPr="00554C37">
              <w:rPr>
                <w:b/>
                <w:bCs/>
              </w:rPr>
              <w:t>18</w:t>
            </w:r>
          </w:p>
        </w:tc>
        <w:tc>
          <w:tcPr>
            <w:tcW w:w="794" w:type="dxa"/>
            <w:tcBorders>
              <w:top w:val="single" w:sz="4" w:space="0" w:color="auto"/>
              <w:left w:val="nil"/>
              <w:bottom w:val="single" w:sz="4" w:space="0" w:color="auto"/>
              <w:right w:val="single" w:sz="4" w:space="0" w:color="auto"/>
            </w:tcBorders>
            <w:shd w:val="clear" w:color="auto" w:fill="auto"/>
            <w:noWrap/>
          </w:tcPr>
          <w:p w14:paraId="03FB1EE4" w14:textId="77777777" w:rsidR="00FA554E" w:rsidRPr="00554C37" w:rsidRDefault="00FA554E" w:rsidP="00BA4FCA">
            <w:pPr>
              <w:jc w:val="right"/>
              <w:rPr>
                <w:b/>
                <w:bCs/>
              </w:rPr>
            </w:pPr>
            <w:r w:rsidRPr="00554C37">
              <w:rPr>
                <w:b/>
                <w:bCs/>
              </w:rPr>
              <w:t>12</w:t>
            </w:r>
          </w:p>
        </w:tc>
      </w:tr>
    </w:tbl>
    <w:p w14:paraId="3B6DB050" w14:textId="229668EE" w:rsidR="00591F0E" w:rsidRPr="005D104F" w:rsidRDefault="00591F0E" w:rsidP="00591F0E">
      <w:pPr>
        <w:spacing w:before="120"/>
        <w:rPr>
          <w:bCs/>
        </w:rPr>
      </w:pPr>
      <w:r>
        <w:br w:type="column"/>
      </w:r>
      <w:r w:rsidRPr="005D104F">
        <w:rPr>
          <w:bCs/>
        </w:rPr>
        <w:t>Granted applications:</w:t>
      </w:r>
    </w:p>
    <w:p w14:paraId="7A11D06A" w14:textId="560F5A94" w:rsidR="00591F0E" w:rsidRDefault="00591F0E" w:rsidP="00591F0E">
      <w:pPr>
        <w:tabs>
          <w:tab w:val="right" w:pos="601"/>
          <w:tab w:val="left" w:pos="1026"/>
        </w:tabs>
        <w:spacing w:after="60"/>
        <w:ind w:left="1026" w:hanging="1026"/>
      </w:pPr>
      <w:r w:rsidRPr="005D104F">
        <w:tab/>
      </w:r>
      <w:r>
        <w:t>31</w:t>
      </w:r>
      <w:r w:rsidRPr="005D104F">
        <w:tab/>
        <w:t>income management agreements and orders revoked</w:t>
      </w:r>
    </w:p>
    <w:p w14:paraId="18756D2B" w14:textId="77777777" w:rsidR="00591F0E" w:rsidRDefault="00591F0E" w:rsidP="00591F0E">
      <w:pPr>
        <w:tabs>
          <w:tab w:val="right" w:pos="601"/>
          <w:tab w:val="left" w:pos="1026"/>
        </w:tabs>
        <w:spacing w:after="60"/>
        <w:ind w:left="1026" w:hanging="1026"/>
      </w:pPr>
      <w:r>
        <w:tab/>
        <w:t>1</w:t>
      </w:r>
      <w:r>
        <w:tab/>
        <w:t>CIM order and case plan revoked</w:t>
      </w:r>
    </w:p>
    <w:p w14:paraId="6BE9CB6F" w14:textId="77777777" w:rsidR="00591F0E" w:rsidRDefault="00591F0E" w:rsidP="00591F0E">
      <w:pPr>
        <w:tabs>
          <w:tab w:val="right" w:pos="601"/>
          <w:tab w:val="left" w:pos="1026"/>
        </w:tabs>
        <w:spacing w:after="60"/>
        <w:ind w:left="1026" w:hanging="1026"/>
      </w:pPr>
      <w:r>
        <w:tab/>
        <w:t>1</w:t>
      </w:r>
      <w:r>
        <w:tab/>
        <w:t>CIM order revoked and client given a reprimand</w:t>
      </w:r>
    </w:p>
    <w:p w14:paraId="032E3FBD" w14:textId="77777777" w:rsidR="00591F0E" w:rsidRDefault="00591F0E" w:rsidP="00591F0E">
      <w:pPr>
        <w:tabs>
          <w:tab w:val="right" w:pos="601"/>
          <w:tab w:val="left" w:pos="1026"/>
        </w:tabs>
        <w:spacing w:after="60"/>
        <w:ind w:left="1026" w:hanging="1026"/>
      </w:pPr>
      <w:r>
        <w:tab/>
        <w:t>2</w:t>
      </w:r>
      <w:r>
        <w:tab/>
        <w:t>CIM orders revoked and clients advised to comply with their case plans</w:t>
      </w:r>
    </w:p>
    <w:p w14:paraId="204FE40B" w14:textId="77777777" w:rsidR="00591F0E" w:rsidRPr="005D104F" w:rsidRDefault="00591F0E" w:rsidP="00591F0E">
      <w:pPr>
        <w:tabs>
          <w:tab w:val="right" w:pos="601"/>
          <w:tab w:val="left" w:pos="1026"/>
        </w:tabs>
        <w:spacing w:after="60"/>
        <w:ind w:left="1026" w:hanging="1026"/>
      </w:pPr>
      <w:r>
        <w:tab/>
        <w:t>1</w:t>
      </w:r>
      <w:r>
        <w:tab/>
      </w:r>
      <w:r w:rsidRPr="00D07420">
        <w:t xml:space="preserve">CIM order at </w:t>
      </w:r>
      <w:r>
        <w:t>90</w:t>
      </w:r>
      <w:r w:rsidRPr="00D07420">
        <w:t xml:space="preserve"> percent revoked and client placed on a new CIM order at </w:t>
      </w:r>
      <w:r>
        <w:t>75</w:t>
      </w:r>
      <w:r w:rsidRPr="00D07420">
        <w:t xml:space="preserve"> percent for a period of 12 months</w:t>
      </w:r>
    </w:p>
    <w:p w14:paraId="33EC3E2F" w14:textId="77777777" w:rsidR="00591F0E" w:rsidRPr="005D104F" w:rsidRDefault="00591F0E" w:rsidP="00591F0E">
      <w:pPr>
        <w:tabs>
          <w:tab w:val="right" w:pos="601"/>
          <w:tab w:val="left" w:pos="1026"/>
        </w:tabs>
        <w:spacing w:after="60"/>
        <w:ind w:left="1026" w:hanging="1026"/>
      </w:pPr>
      <w:r w:rsidRPr="005D104F">
        <w:t>Applications with a revised order or agreement:</w:t>
      </w:r>
    </w:p>
    <w:p w14:paraId="091A66CC" w14:textId="77777777" w:rsidR="00591F0E" w:rsidRPr="00D07420" w:rsidRDefault="00591F0E" w:rsidP="00591F0E">
      <w:pPr>
        <w:tabs>
          <w:tab w:val="right" w:pos="601"/>
          <w:tab w:val="left" w:pos="1026"/>
        </w:tabs>
        <w:spacing w:after="60"/>
        <w:ind w:left="1026" w:hanging="1026"/>
      </w:pPr>
      <w:r w:rsidRPr="005D104F">
        <w:tab/>
      </w:r>
      <w:r>
        <w:t>1</w:t>
      </w:r>
      <w:r w:rsidRPr="00D07420">
        <w:tab/>
        <w:t xml:space="preserve">CIM order at </w:t>
      </w:r>
      <w:r>
        <w:t>90</w:t>
      </w:r>
      <w:r w:rsidRPr="00D07420">
        <w:t xml:space="preserve"> percent revoked and client placed on a new CIM order at 60 percent for a period of 12 months</w:t>
      </w:r>
    </w:p>
    <w:p w14:paraId="54E64BCB" w14:textId="77777777" w:rsidR="00591F0E" w:rsidRDefault="00591F0E" w:rsidP="00591F0E">
      <w:pPr>
        <w:tabs>
          <w:tab w:val="right" w:pos="601"/>
          <w:tab w:val="left" w:pos="1026"/>
        </w:tabs>
        <w:spacing w:after="60"/>
        <w:ind w:left="1026" w:hanging="1026"/>
      </w:pPr>
      <w:r w:rsidRPr="00D07420">
        <w:tab/>
        <w:t>1</w:t>
      </w:r>
      <w:r w:rsidRPr="00D07420">
        <w:tab/>
        <w:t xml:space="preserve">CIM order at </w:t>
      </w:r>
      <w:r>
        <w:t>75</w:t>
      </w:r>
      <w:r w:rsidRPr="00D07420">
        <w:t xml:space="preserve"> percent revoked and client placed on a new CIM order at </w:t>
      </w:r>
      <w:r>
        <w:t>60</w:t>
      </w:r>
      <w:r w:rsidRPr="00D07420">
        <w:t xml:space="preserve"> percent for a period of 12 months</w:t>
      </w:r>
    </w:p>
    <w:p w14:paraId="21F6809E" w14:textId="77777777" w:rsidR="00591F0E" w:rsidRPr="00D07420" w:rsidRDefault="00591F0E" w:rsidP="00591F0E">
      <w:pPr>
        <w:tabs>
          <w:tab w:val="right" w:pos="601"/>
          <w:tab w:val="left" w:pos="1026"/>
        </w:tabs>
        <w:spacing w:after="60"/>
        <w:ind w:left="1026" w:hanging="1026"/>
      </w:pPr>
      <w:r w:rsidRPr="00D07420">
        <w:tab/>
      </w:r>
      <w:r>
        <w:t>2</w:t>
      </w:r>
      <w:r w:rsidRPr="00D07420">
        <w:tab/>
        <w:t>CIM order</w:t>
      </w:r>
      <w:r>
        <w:t>s</w:t>
      </w:r>
      <w:r w:rsidRPr="00D07420">
        <w:t xml:space="preserve"> at </w:t>
      </w:r>
      <w:r>
        <w:t>75</w:t>
      </w:r>
      <w:r w:rsidRPr="00D07420">
        <w:t xml:space="preserve"> percent revoked and client</w:t>
      </w:r>
      <w:r>
        <w:t>s</w:t>
      </w:r>
      <w:r w:rsidRPr="00D07420">
        <w:t xml:space="preserve"> placed on a new CIM order at </w:t>
      </w:r>
      <w:r>
        <w:t>60</w:t>
      </w:r>
      <w:r w:rsidRPr="00D07420">
        <w:t xml:space="preserve"> percent for a period of 12 months</w:t>
      </w:r>
      <w:r>
        <w:t xml:space="preserve"> and clients placed on a new case plan</w:t>
      </w:r>
    </w:p>
    <w:p w14:paraId="08B0E706" w14:textId="77777777" w:rsidR="00591F0E" w:rsidRPr="00D07420" w:rsidRDefault="00591F0E" w:rsidP="00591F0E">
      <w:pPr>
        <w:tabs>
          <w:tab w:val="right" w:pos="601"/>
          <w:tab w:val="left" w:pos="1026"/>
        </w:tabs>
        <w:spacing w:after="60"/>
        <w:ind w:left="1026" w:hanging="1026"/>
      </w:pPr>
      <w:r w:rsidRPr="00D07420">
        <w:tab/>
        <w:t>1</w:t>
      </w:r>
      <w:r w:rsidRPr="00D07420">
        <w:tab/>
        <w:t>CIM order at 75 percent revoked and client placed on a new CIM order at</w:t>
      </w:r>
      <w:r>
        <w:t xml:space="preserve"> 9</w:t>
      </w:r>
      <w:r w:rsidRPr="00D07420">
        <w:t>0 percent for a period of 12 months</w:t>
      </w:r>
      <w:r>
        <w:t>.</w:t>
      </w:r>
    </w:p>
    <w:p w14:paraId="059B7872" w14:textId="77777777" w:rsidR="00591F0E" w:rsidRDefault="00591F0E" w:rsidP="00591F0E">
      <w:pPr>
        <w:tabs>
          <w:tab w:val="right" w:pos="601"/>
          <w:tab w:val="left" w:pos="1026"/>
        </w:tabs>
        <w:spacing w:after="60"/>
        <w:ind w:left="1026" w:hanging="1026"/>
      </w:pPr>
      <w:r>
        <w:t>Withdrawn applications:</w:t>
      </w:r>
    </w:p>
    <w:p w14:paraId="386867C9" w14:textId="77777777" w:rsidR="00591F0E" w:rsidRDefault="00591F0E" w:rsidP="00591F0E">
      <w:pPr>
        <w:tabs>
          <w:tab w:val="right" w:pos="601"/>
          <w:tab w:val="left" w:pos="1026"/>
        </w:tabs>
        <w:spacing w:after="60"/>
        <w:ind w:left="1026" w:hanging="1026"/>
      </w:pPr>
      <w:r w:rsidRPr="005D104F">
        <w:tab/>
      </w:r>
      <w:r>
        <w:t>1</w:t>
      </w:r>
      <w:r w:rsidRPr="005D104F">
        <w:tab/>
        <w:t>application</w:t>
      </w:r>
      <w:r>
        <w:t xml:space="preserve"> withdrawn by the client.</w:t>
      </w:r>
    </w:p>
    <w:p w14:paraId="1862509B" w14:textId="77777777" w:rsidR="00591F0E" w:rsidRPr="005D104F" w:rsidRDefault="00591F0E" w:rsidP="00591F0E">
      <w:pPr>
        <w:tabs>
          <w:tab w:val="right" w:pos="601"/>
          <w:tab w:val="left" w:pos="1026"/>
        </w:tabs>
        <w:spacing w:after="60"/>
        <w:ind w:left="1026" w:hanging="1026"/>
      </w:pPr>
      <w:r w:rsidRPr="005D104F">
        <w:t>Refused applications:</w:t>
      </w:r>
    </w:p>
    <w:p w14:paraId="0EBB01D5" w14:textId="77777777" w:rsidR="00591F0E" w:rsidRDefault="00591F0E" w:rsidP="00591F0E">
      <w:pPr>
        <w:tabs>
          <w:tab w:val="right" w:pos="601"/>
          <w:tab w:val="left" w:pos="1026"/>
        </w:tabs>
        <w:spacing w:after="60"/>
        <w:ind w:left="1026" w:hanging="1026"/>
      </w:pPr>
      <w:r w:rsidRPr="005D104F">
        <w:tab/>
      </w:r>
      <w:r>
        <w:t>15</w:t>
      </w:r>
      <w:r w:rsidRPr="005D104F">
        <w:tab/>
        <w:t>applications refused</w:t>
      </w:r>
    </w:p>
    <w:p w14:paraId="374212B5" w14:textId="77777777" w:rsidR="00591F0E" w:rsidRDefault="00591F0E" w:rsidP="00591F0E">
      <w:pPr>
        <w:tabs>
          <w:tab w:val="right" w:pos="601"/>
          <w:tab w:val="left" w:pos="1026"/>
        </w:tabs>
        <w:spacing w:after="60"/>
        <w:ind w:left="1026" w:hanging="1026"/>
      </w:pPr>
      <w:r>
        <w:tab/>
        <w:t>4</w:t>
      </w:r>
      <w:r>
        <w:tab/>
        <w:t>applications refused and clients given a reprimand.</w:t>
      </w:r>
    </w:p>
    <w:p w14:paraId="7CD48AC8" w14:textId="77777777" w:rsidR="00591F0E" w:rsidRDefault="00591F0E" w:rsidP="00591F0E">
      <w:pPr>
        <w:tabs>
          <w:tab w:val="right" w:pos="601"/>
          <w:tab w:val="left" w:pos="1026"/>
        </w:tabs>
        <w:spacing w:after="60"/>
        <w:ind w:left="1026" w:hanging="1026"/>
      </w:pPr>
      <w:r>
        <w:t>Pending applications:</w:t>
      </w:r>
    </w:p>
    <w:p w14:paraId="00DD237B" w14:textId="77777777" w:rsidR="00591F0E" w:rsidRDefault="00591F0E" w:rsidP="00591F0E">
      <w:pPr>
        <w:tabs>
          <w:tab w:val="right" w:pos="601"/>
          <w:tab w:val="left" w:pos="1026"/>
        </w:tabs>
        <w:spacing w:after="60"/>
        <w:ind w:left="1026" w:hanging="1026"/>
      </w:pPr>
      <w:r w:rsidRPr="005D104F">
        <w:tab/>
      </w:r>
      <w:r>
        <w:t>1</w:t>
      </w:r>
      <w:r w:rsidRPr="005D104F">
        <w:tab/>
        <w:t>application</w:t>
      </w:r>
      <w:r>
        <w:t xml:space="preserve"> was received at the end of the financial year with decisions pending.</w:t>
      </w:r>
    </w:p>
    <w:p w14:paraId="58DC4511" w14:textId="3EA6CCDF" w:rsidR="00FA554E" w:rsidRPr="004E2074" w:rsidRDefault="00FA554E" w:rsidP="004024CE"/>
    <w:p w14:paraId="782E816D" w14:textId="77777777" w:rsidR="00513ED2" w:rsidRDefault="00513ED2" w:rsidP="00691F50"/>
    <w:sectPr w:rsidR="00513ED2" w:rsidSect="00691F50">
      <w:headerReference w:type="default" r:id="rId11"/>
      <w:footnotePr>
        <w:numRestart w:val="eachSect"/>
      </w:footnotePr>
      <w:pgSz w:w="11906" w:h="16838"/>
      <w:pgMar w:top="2948" w:right="567" w:bottom="567" w:left="567" w:header="0"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E15E0C" w:rsidRDefault="00E15E0C" w:rsidP="004024CE">
      <w:r>
        <w:separator/>
      </w:r>
    </w:p>
    <w:p w14:paraId="2684ADC9" w14:textId="77777777" w:rsidR="00E15E0C" w:rsidRDefault="00E15E0C"/>
  </w:endnote>
  <w:endnote w:type="continuationSeparator" w:id="0">
    <w:p w14:paraId="5902E99D" w14:textId="77777777" w:rsidR="00E15E0C" w:rsidRDefault="00E15E0C" w:rsidP="004024CE">
      <w:r>
        <w:continuationSeparator/>
      </w:r>
    </w:p>
    <w:p w14:paraId="7009E93E" w14:textId="77777777" w:rsidR="00E15E0C" w:rsidRDefault="00E15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Swis721 BT"/>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88C23" w14:textId="17155B63" w:rsidR="00E15E0C" w:rsidRDefault="00E15E0C">
      <w:r>
        <w:separator/>
      </w:r>
    </w:p>
  </w:footnote>
  <w:footnote w:type="continuationSeparator" w:id="0">
    <w:p w14:paraId="2F6A77D2" w14:textId="77777777" w:rsidR="00E15E0C" w:rsidRDefault="00E15E0C" w:rsidP="004024CE">
      <w:r>
        <w:continuationSeparator/>
      </w:r>
    </w:p>
    <w:p w14:paraId="589F46A1" w14:textId="77777777" w:rsidR="00E15E0C" w:rsidRDefault="00E15E0C"/>
  </w:footnote>
  <w:footnote w:id="1">
    <w:p w14:paraId="1E17A13E" w14:textId="77777777" w:rsidR="00E15E0C" w:rsidRPr="00EE1AD7" w:rsidRDefault="00E15E0C" w:rsidP="00B71848">
      <w:pPr>
        <w:pStyle w:val="FootnoteText"/>
        <w:rPr>
          <w:lang w:val="en-AU"/>
        </w:rPr>
      </w:pPr>
      <w:r>
        <w:rPr>
          <w:rStyle w:val="FootnoteReference"/>
        </w:rPr>
        <w:footnoteRef/>
      </w:r>
      <w:r w:rsidRPr="00EE1AD7">
        <w:rPr>
          <w:rStyle w:val="FootnoteReference"/>
        </w:rPr>
        <w:t xml:space="preserve"> Agency notices are counted on the basis of the number of persons named on the notice. For example a Child Safety and Welfare notice relating to two parents is counted as two notices and if three children from one family have an unexplained absence on one day, it is counted as three individual notices.</w:t>
      </w:r>
    </w:p>
  </w:footnote>
  <w:footnote w:id="2">
    <w:p w14:paraId="32E58A03" w14:textId="38150B57" w:rsidR="00E15E0C" w:rsidRPr="00A66054" w:rsidRDefault="00E15E0C">
      <w:pPr>
        <w:pStyle w:val="FootnoteText"/>
        <w:rPr>
          <w:sz w:val="16"/>
          <w:szCs w:val="16"/>
          <w:lang w:val="en-AU"/>
        </w:rPr>
      </w:pPr>
      <w:r w:rsidRPr="00A66054">
        <w:rPr>
          <w:rStyle w:val="FootnoteReference"/>
        </w:rPr>
        <w:footnoteRef/>
      </w:r>
      <w:r w:rsidRPr="00A66054">
        <w:rPr>
          <w:rStyle w:val="FootnoteReference"/>
        </w:rPr>
        <w:t xml:space="preserve"> </w:t>
      </w:r>
      <w:r w:rsidRPr="00743A6D">
        <w:rPr>
          <w:rStyle w:val="FootnoteReference"/>
        </w:rPr>
        <w:t>C</w:t>
      </w:r>
      <w:r w:rsidRPr="00A66054">
        <w:rPr>
          <w:rStyle w:val="FootnoteReference"/>
        </w:rPr>
        <w:t>alculated by dividing all conference</w:t>
      </w:r>
      <w:r>
        <w:rPr>
          <w:rStyle w:val="FootnoteReference"/>
        </w:rPr>
        <w:t>s</w:t>
      </w:r>
      <w:r w:rsidRPr="00A66054">
        <w:rPr>
          <w:rStyle w:val="FootnoteReference"/>
        </w:rPr>
        <w:t xml:space="preserve"> with an explained reason</w:t>
      </w:r>
      <w:r w:rsidRPr="00743A6D">
        <w:rPr>
          <w:rStyle w:val="FootnoteReference"/>
        </w:rPr>
        <w:t xml:space="preserve"> </w:t>
      </w:r>
      <w:r w:rsidRPr="00ED67A9">
        <w:rPr>
          <w:rStyle w:val="FootnoteReference"/>
        </w:rPr>
        <w:t>for non-attendance</w:t>
      </w:r>
      <w:r w:rsidRPr="00A66054">
        <w:rPr>
          <w:rStyle w:val="FootnoteReference"/>
        </w:rPr>
        <w:t xml:space="preserve"> by the number of conference</w:t>
      </w:r>
      <w:r>
        <w:rPr>
          <w:rStyle w:val="FootnoteReference"/>
        </w:rPr>
        <w:t>s</w:t>
      </w:r>
      <w:r w:rsidRPr="00A66054">
        <w:rPr>
          <w:rStyle w:val="FootnoteReference"/>
        </w:rPr>
        <w:t xml:space="preserve"> where the client did not attend conference.</w:t>
      </w:r>
    </w:p>
  </w:footnote>
  <w:footnote w:id="3">
    <w:p w14:paraId="362228A9" w14:textId="5268F798" w:rsidR="00E15E0C" w:rsidRPr="00135EAC" w:rsidRDefault="00E15E0C">
      <w:pPr>
        <w:pStyle w:val="FootnoteText"/>
        <w:rPr>
          <w:lang w:val="en-AU"/>
        </w:rPr>
      </w:pPr>
      <w:r>
        <w:rPr>
          <w:rStyle w:val="FootnoteReference"/>
        </w:rPr>
        <w:footnoteRef/>
      </w:r>
      <w:r>
        <w:t xml:space="preserve"> </w:t>
      </w:r>
      <w:r w:rsidRPr="007A314B">
        <w:rPr>
          <w:rStyle w:val="FootnoteReference"/>
        </w:rPr>
        <w:t xml:space="preserve">Average age of </w:t>
      </w:r>
      <w:r>
        <w:rPr>
          <w:rStyle w:val="FootnoteReference"/>
        </w:rPr>
        <w:t>a client who received a notice for the financial year is calculated at the date of the first notice received for the client during the financial year.</w:t>
      </w:r>
    </w:p>
  </w:footnote>
  <w:footnote w:id="4">
    <w:p w14:paraId="301C64A2" w14:textId="77777777" w:rsidR="00E15E0C" w:rsidRPr="00A11BFF" w:rsidRDefault="00E15E0C" w:rsidP="004024CE">
      <w:pPr>
        <w:pStyle w:val="FootnoteText"/>
        <w:rPr>
          <w:vertAlign w:val="superscript"/>
        </w:rPr>
      </w:pPr>
      <w:r w:rsidRPr="00C5462F">
        <w:rPr>
          <w:rStyle w:val="FootnoteReference"/>
        </w:rPr>
        <w:footnoteRef/>
      </w:r>
      <w:r>
        <w:t xml:space="preserve"> </w:t>
      </w:r>
      <w:r w:rsidRPr="007A314B">
        <w:rPr>
          <w:rStyle w:val="FootnoteReference"/>
        </w:rPr>
        <w:t>Average age o</w:t>
      </w:r>
      <w:r>
        <w:rPr>
          <w:rStyle w:val="FootnoteReference"/>
        </w:rPr>
        <w:t>f a conferenced client for the financial year is calculated at the date of the first conference held for the client during the financial year.</w:t>
      </w:r>
    </w:p>
  </w:footnote>
  <w:footnote w:id="5">
    <w:p w14:paraId="4C4D7930" w14:textId="77777777" w:rsidR="00E15E0C" w:rsidRPr="00746B49" w:rsidRDefault="00E15E0C" w:rsidP="004024CE">
      <w:pPr>
        <w:pStyle w:val="FootnoteText"/>
        <w:rPr>
          <w:vertAlign w:val="superscript"/>
        </w:rPr>
      </w:pPr>
      <w:r w:rsidRPr="00C5462F">
        <w:rPr>
          <w:rStyle w:val="FootnoteReference"/>
        </w:rPr>
        <w:footnoteRef/>
      </w:r>
      <w:r>
        <w:t xml:space="preserve"> </w:t>
      </w:r>
      <w:r w:rsidRPr="007A314B">
        <w:rPr>
          <w:rStyle w:val="FootnoteReference"/>
        </w:rPr>
        <w:t>Average age o</w:t>
      </w:r>
      <w:r>
        <w:rPr>
          <w:rStyle w:val="FootnoteReference"/>
        </w:rPr>
        <w:t>f a referred client for the financial year is calculated at the first conference date held where the client was placed on a case plan during the financial year.</w:t>
      </w:r>
    </w:p>
  </w:footnote>
  <w:footnote w:id="6">
    <w:p w14:paraId="532EF436" w14:textId="77777777" w:rsidR="00E15E0C" w:rsidRPr="00746B49" w:rsidRDefault="00E15E0C" w:rsidP="004024CE">
      <w:pPr>
        <w:pStyle w:val="FootnoteText"/>
        <w:rPr>
          <w:vertAlign w:val="superscript"/>
        </w:rPr>
      </w:pPr>
      <w:r w:rsidRPr="00C5462F">
        <w:rPr>
          <w:rStyle w:val="FootnoteReference"/>
        </w:rPr>
        <w:footnoteRef/>
      </w:r>
      <w:r>
        <w:t xml:space="preserve"> </w:t>
      </w:r>
      <w:r w:rsidRPr="007A314B">
        <w:rPr>
          <w:rStyle w:val="FootnoteReference"/>
        </w:rPr>
        <w:t>Average age of</w:t>
      </w:r>
      <w:r>
        <w:rPr>
          <w:rStyle w:val="FootnoteReference"/>
        </w:rPr>
        <w:t xml:space="preserve"> a CIM’d client for the financial year is calculated at the first conference date held where the client was placed on a CIM for the financial year.</w:t>
      </w:r>
    </w:p>
  </w:footnote>
  <w:footnote w:id="7">
    <w:p w14:paraId="4ADF1103" w14:textId="68BD5CE2" w:rsidR="00E15E0C" w:rsidRPr="00746B49" w:rsidRDefault="00E15E0C" w:rsidP="004024CE">
      <w:pPr>
        <w:pStyle w:val="FootnoteText"/>
        <w:rPr>
          <w:vertAlign w:val="superscript"/>
        </w:rPr>
      </w:pPr>
      <w:r w:rsidRPr="00C5462F">
        <w:rPr>
          <w:rStyle w:val="FootnoteReference"/>
        </w:rPr>
        <w:footnoteRef/>
      </w:r>
      <w:r>
        <w:t xml:space="preserve"> </w:t>
      </w:r>
      <w:r w:rsidRPr="007A314B">
        <w:rPr>
          <w:rStyle w:val="FootnoteReference"/>
        </w:rPr>
        <w:t>Average age of</w:t>
      </w:r>
      <w:r>
        <w:rPr>
          <w:rStyle w:val="FootnoteReference"/>
        </w:rPr>
        <w:t xml:space="preserve"> a VIM’d client for the financial year is calculated at t</w:t>
      </w:r>
      <w:r w:rsidRPr="00E04682">
        <w:rPr>
          <w:rStyle w:val="FootnoteReference"/>
        </w:rPr>
        <w:t>he start</w:t>
      </w:r>
      <w:r>
        <w:rPr>
          <w:rStyle w:val="FootnoteReference"/>
        </w:rPr>
        <w:t xml:space="preserve"> date o</w:t>
      </w:r>
      <w:r w:rsidRPr="00E04682">
        <w:rPr>
          <w:rStyle w:val="FootnoteReference"/>
        </w:rPr>
        <w:t xml:space="preserve">f the agreement </w:t>
      </w:r>
      <w:r>
        <w:rPr>
          <w:rStyle w:val="FootnoteReference"/>
        </w:rPr>
        <w:t>where the client was placed on a VIM for the financial year.</w:t>
      </w:r>
    </w:p>
  </w:footnote>
  <w:footnote w:id="8">
    <w:p w14:paraId="0D36B6D2" w14:textId="6108AA9E" w:rsidR="00E15E0C" w:rsidRPr="0009050D" w:rsidRDefault="00E15E0C">
      <w:pPr>
        <w:pStyle w:val="FootnoteText"/>
        <w:rPr>
          <w:lang w:val="en-AU"/>
        </w:rPr>
      </w:pPr>
      <w:r>
        <w:rPr>
          <w:rStyle w:val="FootnoteReference"/>
        </w:rPr>
        <w:footnoteRef/>
      </w:r>
      <w:r>
        <w:t xml:space="preserve"> </w:t>
      </w:r>
      <w:r w:rsidRPr="00135EAC">
        <w:rPr>
          <w:rStyle w:val="FootnoteReference"/>
        </w:rPr>
        <w:t>Agency notices for the community of Doomadgee are presently received from the Department of Education and the Department of Child Safety, Youth and Women only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68604" w14:textId="77777777" w:rsidR="00E15E0C" w:rsidRDefault="00E15E0C" w:rsidP="004024CE">
    <w:pPr>
      <w:pStyle w:val="Header"/>
    </w:pPr>
  </w:p>
  <w:p w14:paraId="20BC4771" w14:textId="77777777" w:rsidR="00A96185" w:rsidRDefault="00A96185" w:rsidP="00A96185">
    <w:pPr>
      <w:pStyle w:val="Header"/>
    </w:pPr>
  </w:p>
  <w:p w14:paraId="720D8CC5" w14:textId="77777777" w:rsidR="00A96185" w:rsidRDefault="00A96185" w:rsidP="00A96185">
    <w:pPr>
      <w:pStyle w:val="Header"/>
    </w:pPr>
  </w:p>
  <w:p w14:paraId="0CDE4FCA" w14:textId="77777777" w:rsidR="00A96185" w:rsidRDefault="00A96185" w:rsidP="00A96185">
    <w:pPr>
      <w:pStyle w:val="Header"/>
    </w:pPr>
  </w:p>
  <w:p w14:paraId="47A7B35A" w14:textId="77777777" w:rsidR="00A96185" w:rsidRDefault="00A96185" w:rsidP="00A96185">
    <w:pPr>
      <w:pStyle w:val="Header"/>
    </w:pPr>
  </w:p>
  <w:p w14:paraId="07985BAA" w14:textId="77777777" w:rsidR="00A96185" w:rsidRPr="00676AE3" w:rsidRDefault="00A96185" w:rsidP="00A96185">
    <w:pPr>
      <w:pStyle w:val="Header"/>
    </w:pPr>
    <w:r>
      <w:t>Review of non-financial performance</w:t>
    </w:r>
  </w:p>
  <w:p w14:paraId="4C79E650" w14:textId="780018DB" w:rsidR="00E15E0C" w:rsidRPr="00C707F4" w:rsidRDefault="00E15E0C" w:rsidP="00A96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69F9A" w14:textId="77777777" w:rsidR="00A96185" w:rsidRDefault="00A96185" w:rsidP="00A96185">
    <w:pPr>
      <w:pStyle w:val="Header"/>
    </w:pPr>
  </w:p>
  <w:p w14:paraId="1515A267" w14:textId="77777777" w:rsidR="00A96185" w:rsidRDefault="00A96185" w:rsidP="00A96185">
    <w:pPr>
      <w:pStyle w:val="Header"/>
    </w:pPr>
  </w:p>
  <w:p w14:paraId="7A03F985" w14:textId="77777777" w:rsidR="00A96185" w:rsidRDefault="00A96185" w:rsidP="00A96185">
    <w:pPr>
      <w:pStyle w:val="Header"/>
    </w:pPr>
  </w:p>
  <w:p w14:paraId="058854B0" w14:textId="77777777" w:rsidR="00A96185" w:rsidRDefault="00A96185" w:rsidP="00A96185">
    <w:pPr>
      <w:pStyle w:val="Header"/>
    </w:pPr>
  </w:p>
  <w:p w14:paraId="5A2590AB" w14:textId="77777777" w:rsidR="00A96185" w:rsidRDefault="00A96185" w:rsidP="00A96185">
    <w:pPr>
      <w:pStyle w:val="Header"/>
    </w:pPr>
  </w:p>
  <w:p w14:paraId="6E2BDAD1" w14:textId="77777777" w:rsidR="00A96185" w:rsidRPr="00676AE3" w:rsidRDefault="00A96185" w:rsidP="00A96185">
    <w:pPr>
      <w:pStyle w:val="Header"/>
    </w:pPr>
    <w:r>
      <w:t>Review of non-financial performance</w:t>
    </w:r>
  </w:p>
  <w:p w14:paraId="04F52B28" w14:textId="77777777" w:rsidR="00E15E0C" w:rsidRPr="00A96185" w:rsidRDefault="00E15E0C" w:rsidP="00A9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129079C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05F42060"/>
    <w:multiLevelType w:val="hybridMultilevel"/>
    <w:tmpl w:val="916A2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6AD541E"/>
    <w:multiLevelType w:val="hybridMultilevel"/>
    <w:tmpl w:val="A15C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B805CB3"/>
    <w:multiLevelType w:val="multilevel"/>
    <w:tmpl w:val="0414D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C5253B"/>
    <w:multiLevelType w:val="hybridMultilevel"/>
    <w:tmpl w:val="A2229784"/>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2"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A66088"/>
    <w:multiLevelType w:val="hybridMultilevel"/>
    <w:tmpl w:val="1CDC7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367499"/>
    <w:multiLevelType w:val="hybridMultilevel"/>
    <w:tmpl w:val="1F22C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820991"/>
    <w:multiLevelType w:val="hybridMultilevel"/>
    <w:tmpl w:val="4C6C3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9" w15:restartNumberingAfterBreak="0">
    <w:nsid w:val="282C5916"/>
    <w:multiLevelType w:val="hybridMultilevel"/>
    <w:tmpl w:val="F02EB0C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21FA0"/>
    <w:multiLevelType w:val="hybridMultilevel"/>
    <w:tmpl w:val="D9D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6A45207"/>
    <w:multiLevelType w:val="hybridMultilevel"/>
    <w:tmpl w:val="0FFCABE0"/>
    <w:lvl w:ilvl="0" w:tplc="F19203D6">
      <w:start w:val="1"/>
      <w:numFmt w:val="bullet"/>
      <w:lvlText w:val=""/>
      <w:lvlJc w:val="left"/>
      <w:pPr>
        <w:tabs>
          <w:tab w:val="num" w:pos="360"/>
        </w:tabs>
        <w:ind w:left="360" w:hanging="360"/>
      </w:pPr>
      <w:rPr>
        <w:rFonts w:ascii="Symbol" w:hAnsi="Symbol" w:hint="default"/>
        <w:sz w:val="16"/>
        <w:szCs w:val="16"/>
      </w:rPr>
    </w:lvl>
    <w:lvl w:ilvl="1" w:tplc="0C090001">
      <w:start w:val="1"/>
      <w:numFmt w:val="bullet"/>
      <w:lvlText w:val=""/>
      <w:lvlJc w:val="left"/>
      <w:pPr>
        <w:tabs>
          <w:tab w:val="num" w:pos="1440"/>
        </w:tabs>
        <w:ind w:left="1440" w:hanging="360"/>
      </w:pPr>
      <w:rPr>
        <w:rFonts w:ascii="Symbol" w:hAnsi="Symbol" w:hint="default"/>
        <w:sz w:val="16"/>
        <w:szCs w:val="1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171ECD"/>
    <w:multiLevelType w:val="hybridMultilevel"/>
    <w:tmpl w:val="BE30DD4A"/>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27" w15:restartNumberingAfterBreak="0">
    <w:nsid w:val="5018606F"/>
    <w:multiLevelType w:val="hybridMultilevel"/>
    <w:tmpl w:val="95F210E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D637A5"/>
    <w:multiLevelType w:val="hybridMultilevel"/>
    <w:tmpl w:val="E3FE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881C7F"/>
    <w:multiLevelType w:val="hybridMultilevel"/>
    <w:tmpl w:val="C6B49B02"/>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A563D6"/>
    <w:multiLevelType w:val="hybridMultilevel"/>
    <w:tmpl w:val="95CE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B4ED0"/>
    <w:multiLevelType w:val="hybridMultilevel"/>
    <w:tmpl w:val="71740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20548E"/>
    <w:multiLevelType w:val="hybridMultilevel"/>
    <w:tmpl w:val="06D8F8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6C655A6"/>
    <w:multiLevelType w:val="hybridMultilevel"/>
    <w:tmpl w:val="FEF8FB1C"/>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D43232"/>
    <w:multiLevelType w:val="hybridMultilevel"/>
    <w:tmpl w:val="DD4092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3"/>
  </w:num>
  <w:num w:numId="4">
    <w:abstractNumId w:val="18"/>
  </w:num>
  <w:num w:numId="5">
    <w:abstractNumId w:val="25"/>
  </w:num>
  <w:num w:numId="6">
    <w:abstractNumId w:val="1"/>
  </w:num>
  <w:num w:numId="7">
    <w:abstractNumId w:val="0"/>
  </w:num>
  <w:num w:numId="8">
    <w:abstractNumId w:val="32"/>
  </w:num>
  <w:num w:numId="9">
    <w:abstractNumId w:val="26"/>
  </w:num>
  <w:num w:numId="10">
    <w:abstractNumId w:val="35"/>
  </w:num>
  <w:num w:numId="11">
    <w:abstractNumId w:val="4"/>
  </w:num>
  <w:num w:numId="12">
    <w:abstractNumId w:val="9"/>
  </w:num>
  <w:num w:numId="13">
    <w:abstractNumId w:val="23"/>
  </w:num>
  <w:num w:numId="14">
    <w:abstractNumId w:val="29"/>
  </w:num>
  <w:num w:numId="15">
    <w:abstractNumId w:val="12"/>
  </w:num>
  <w:num w:numId="16">
    <w:abstractNumId w:val="31"/>
  </w:num>
  <w:num w:numId="17">
    <w:abstractNumId w:val="43"/>
  </w:num>
  <w:num w:numId="18">
    <w:abstractNumId w:val="17"/>
  </w:num>
  <w:num w:numId="19">
    <w:abstractNumId w:val="15"/>
  </w:num>
  <w:num w:numId="20">
    <w:abstractNumId w:val="11"/>
  </w:num>
  <w:num w:numId="21">
    <w:abstractNumId w:val="21"/>
  </w:num>
  <w:num w:numId="22">
    <w:abstractNumId w:val="33"/>
  </w:num>
  <w:num w:numId="23">
    <w:abstractNumId w:val="28"/>
  </w:num>
  <w:num w:numId="24">
    <w:abstractNumId w:val="20"/>
  </w:num>
  <w:num w:numId="25">
    <w:abstractNumId w:val="8"/>
  </w:num>
  <w:num w:numId="26">
    <w:abstractNumId w:val="30"/>
  </w:num>
  <w:num w:numId="27">
    <w:abstractNumId w:val="24"/>
  </w:num>
  <w:num w:numId="28">
    <w:abstractNumId w:val="36"/>
  </w:num>
  <w:num w:numId="29">
    <w:abstractNumId w:val="34"/>
  </w:num>
  <w:num w:numId="30">
    <w:abstractNumId w:val="10"/>
  </w:num>
  <w:num w:numId="31">
    <w:abstractNumId w:val="42"/>
  </w:num>
  <w:num w:numId="32">
    <w:abstractNumId w:val="37"/>
  </w:num>
  <w:num w:numId="33">
    <w:abstractNumId w:val="16"/>
  </w:num>
  <w:num w:numId="34">
    <w:abstractNumId w:val="5"/>
  </w:num>
  <w:num w:numId="35">
    <w:abstractNumId w:val="40"/>
  </w:num>
  <w:num w:numId="36">
    <w:abstractNumId w:val="38"/>
  </w:num>
  <w:num w:numId="37">
    <w:abstractNumId w:val="14"/>
  </w:num>
  <w:num w:numId="38">
    <w:abstractNumId w:val="22"/>
  </w:num>
  <w:num w:numId="39">
    <w:abstractNumId w:val="19"/>
  </w:num>
  <w:num w:numId="40">
    <w:abstractNumId w:val="39"/>
  </w:num>
  <w:num w:numId="41">
    <w:abstractNumId w:val="7"/>
  </w:num>
  <w:num w:numId="42">
    <w:abstractNumId w:val="6"/>
  </w:num>
  <w:num w:numId="43">
    <w:abstractNumId w:val="2"/>
  </w:num>
  <w:num w:numId="44">
    <w:abstractNumId w:val="2"/>
  </w:num>
  <w:num w:numId="45">
    <w:abstractNumId w:val="27"/>
  </w:num>
  <w:num w:numId="46">
    <w:abstractNumId w:val="2"/>
  </w:num>
  <w:num w:numId="47">
    <w:abstractNumId w:val="41"/>
  </w:num>
  <w:num w:numId="48">
    <w:abstractNumId w:val="2"/>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66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D79"/>
    <w:rsid w:val="00001782"/>
    <w:rsid w:val="00001893"/>
    <w:rsid w:val="00001EC5"/>
    <w:rsid w:val="0000285C"/>
    <w:rsid w:val="000037B2"/>
    <w:rsid w:val="000044AF"/>
    <w:rsid w:val="00004A64"/>
    <w:rsid w:val="00004F4A"/>
    <w:rsid w:val="0000589F"/>
    <w:rsid w:val="0000745C"/>
    <w:rsid w:val="000108FA"/>
    <w:rsid w:val="000110A1"/>
    <w:rsid w:val="00011797"/>
    <w:rsid w:val="00011EAD"/>
    <w:rsid w:val="00017901"/>
    <w:rsid w:val="00021121"/>
    <w:rsid w:val="00021998"/>
    <w:rsid w:val="00022AE2"/>
    <w:rsid w:val="00022F7A"/>
    <w:rsid w:val="00023834"/>
    <w:rsid w:val="000242CE"/>
    <w:rsid w:val="00024574"/>
    <w:rsid w:val="000259B3"/>
    <w:rsid w:val="0002602A"/>
    <w:rsid w:val="00026F4C"/>
    <w:rsid w:val="00027E78"/>
    <w:rsid w:val="00031A5E"/>
    <w:rsid w:val="000322F4"/>
    <w:rsid w:val="000325C6"/>
    <w:rsid w:val="0003481B"/>
    <w:rsid w:val="000353D9"/>
    <w:rsid w:val="00035E3E"/>
    <w:rsid w:val="00035FC7"/>
    <w:rsid w:val="00041605"/>
    <w:rsid w:val="00041BFC"/>
    <w:rsid w:val="000430A1"/>
    <w:rsid w:val="00044924"/>
    <w:rsid w:val="000460FB"/>
    <w:rsid w:val="00047560"/>
    <w:rsid w:val="000515A2"/>
    <w:rsid w:val="000564E5"/>
    <w:rsid w:val="00061BEF"/>
    <w:rsid w:val="00063B79"/>
    <w:rsid w:val="00064251"/>
    <w:rsid w:val="00064A8E"/>
    <w:rsid w:val="00065ADC"/>
    <w:rsid w:val="00065FF4"/>
    <w:rsid w:val="00066074"/>
    <w:rsid w:val="0006609B"/>
    <w:rsid w:val="000663E5"/>
    <w:rsid w:val="0006657C"/>
    <w:rsid w:val="00066DE4"/>
    <w:rsid w:val="000718B6"/>
    <w:rsid w:val="00072964"/>
    <w:rsid w:val="00072D84"/>
    <w:rsid w:val="00072DC2"/>
    <w:rsid w:val="00072F08"/>
    <w:rsid w:val="00073564"/>
    <w:rsid w:val="00074DAE"/>
    <w:rsid w:val="000762D4"/>
    <w:rsid w:val="0007689C"/>
    <w:rsid w:val="00077640"/>
    <w:rsid w:val="00077B74"/>
    <w:rsid w:val="00077D47"/>
    <w:rsid w:val="00080033"/>
    <w:rsid w:val="000807AA"/>
    <w:rsid w:val="00080A8D"/>
    <w:rsid w:val="0008159C"/>
    <w:rsid w:val="00081DC1"/>
    <w:rsid w:val="00081EEE"/>
    <w:rsid w:val="000857C9"/>
    <w:rsid w:val="00086100"/>
    <w:rsid w:val="0008620F"/>
    <w:rsid w:val="0008664C"/>
    <w:rsid w:val="00086E79"/>
    <w:rsid w:val="0009050D"/>
    <w:rsid w:val="00090671"/>
    <w:rsid w:val="000906F8"/>
    <w:rsid w:val="00093A38"/>
    <w:rsid w:val="0009442F"/>
    <w:rsid w:val="000958AE"/>
    <w:rsid w:val="000A24AF"/>
    <w:rsid w:val="000A3C68"/>
    <w:rsid w:val="000A486F"/>
    <w:rsid w:val="000B15B1"/>
    <w:rsid w:val="000B462C"/>
    <w:rsid w:val="000B6715"/>
    <w:rsid w:val="000B74C2"/>
    <w:rsid w:val="000C250A"/>
    <w:rsid w:val="000C26A3"/>
    <w:rsid w:val="000C3367"/>
    <w:rsid w:val="000C5308"/>
    <w:rsid w:val="000C7FA3"/>
    <w:rsid w:val="000D18E7"/>
    <w:rsid w:val="000D1B0D"/>
    <w:rsid w:val="000D2108"/>
    <w:rsid w:val="000D2CB9"/>
    <w:rsid w:val="000D3DFB"/>
    <w:rsid w:val="000D3EF8"/>
    <w:rsid w:val="000D4D9F"/>
    <w:rsid w:val="000D68EB"/>
    <w:rsid w:val="000E304D"/>
    <w:rsid w:val="000E37EE"/>
    <w:rsid w:val="000E426A"/>
    <w:rsid w:val="000E71ED"/>
    <w:rsid w:val="000E7D7C"/>
    <w:rsid w:val="000F1722"/>
    <w:rsid w:val="000F27DA"/>
    <w:rsid w:val="000F29F4"/>
    <w:rsid w:val="000F756B"/>
    <w:rsid w:val="00100924"/>
    <w:rsid w:val="00100A80"/>
    <w:rsid w:val="00100F89"/>
    <w:rsid w:val="001011D2"/>
    <w:rsid w:val="001021E4"/>
    <w:rsid w:val="00102CBA"/>
    <w:rsid w:val="0010393B"/>
    <w:rsid w:val="00103B04"/>
    <w:rsid w:val="001044E6"/>
    <w:rsid w:val="001075D2"/>
    <w:rsid w:val="00110290"/>
    <w:rsid w:val="00110473"/>
    <w:rsid w:val="00110B3A"/>
    <w:rsid w:val="00111143"/>
    <w:rsid w:val="00112E6D"/>
    <w:rsid w:val="0011300B"/>
    <w:rsid w:val="00113FC1"/>
    <w:rsid w:val="001148E9"/>
    <w:rsid w:val="001158F5"/>
    <w:rsid w:val="001161F7"/>
    <w:rsid w:val="001169C2"/>
    <w:rsid w:val="001179CD"/>
    <w:rsid w:val="00120AB8"/>
    <w:rsid w:val="00120AFC"/>
    <w:rsid w:val="0012262A"/>
    <w:rsid w:val="00123074"/>
    <w:rsid w:val="00124328"/>
    <w:rsid w:val="00130407"/>
    <w:rsid w:val="0013048C"/>
    <w:rsid w:val="00130BDD"/>
    <w:rsid w:val="001317BB"/>
    <w:rsid w:val="00131A14"/>
    <w:rsid w:val="00132E53"/>
    <w:rsid w:val="00134ACA"/>
    <w:rsid w:val="001355A5"/>
    <w:rsid w:val="00135D86"/>
    <w:rsid w:val="00135EAC"/>
    <w:rsid w:val="001366AA"/>
    <w:rsid w:val="00140382"/>
    <w:rsid w:val="00140BAC"/>
    <w:rsid w:val="00140D6A"/>
    <w:rsid w:val="001410E3"/>
    <w:rsid w:val="00142ED9"/>
    <w:rsid w:val="00143B4F"/>
    <w:rsid w:val="0014645C"/>
    <w:rsid w:val="00146B2C"/>
    <w:rsid w:val="00150DA5"/>
    <w:rsid w:val="00152512"/>
    <w:rsid w:val="0015460C"/>
    <w:rsid w:val="001569A9"/>
    <w:rsid w:val="00156E0A"/>
    <w:rsid w:val="001618BE"/>
    <w:rsid w:val="0016341B"/>
    <w:rsid w:val="00164CA5"/>
    <w:rsid w:val="00165546"/>
    <w:rsid w:val="00166140"/>
    <w:rsid w:val="00166D33"/>
    <w:rsid w:val="00167C49"/>
    <w:rsid w:val="001707D9"/>
    <w:rsid w:val="00170939"/>
    <w:rsid w:val="00171741"/>
    <w:rsid w:val="00171EA2"/>
    <w:rsid w:val="001755ED"/>
    <w:rsid w:val="001760BC"/>
    <w:rsid w:val="00176460"/>
    <w:rsid w:val="001803B7"/>
    <w:rsid w:val="00180BFA"/>
    <w:rsid w:val="00181AFF"/>
    <w:rsid w:val="001822CE"/>
    <w:rsid w:val="001822FC"/>
    <w:rsid w:val="00182C02"/>
    <w:rsid w:val="00186CD6"/>
    <w:rsid w:val="001911DA"/>
    <w:rsid w:val="001928E3"/>
    <w:rsid w:val="00193066"/>
    <w:rsid w:val="001937FA"/>
    <w:rsid w:val="00196759"/>
    <w:rsid w:val="001973F5"/>
    <w:rsid w:val="00197911"/>
    <w:rsid w:val="00197A47"/>
    <w:rsid w:val="001A0120"/>
    <w:rsid w:val="001A06B6"/>
    <w:rsid w:val="001A16A1"/>
    <w:rsid w:val="001A36E3"/>
    <w:rsid w:val="001A444A"/>
    <w:rsid w:val="001A4E72"/>
    <w:rsid w:val="001A5D2B"/>
    <w:rsid w:val="001A5DFE"/>
    <w:rsid w:val="001A6EAC"/>
    <w:rsid w:val="001B070B"/>
    <w:rsid w:val="001B07A5"/>
    <w:rsid w:val="001B11BE"/>
    <w:rsid w:val="001B3060"/>
    <w:rsid w:val="001B4393"/>
    <w:rsid w:val="001B6CCE"/>
    <w:rsid w:val="001B7200"/>
    <w:rsid w:val="001B7316"/>
    <w:rsid w:val="001C160C"/>
    <w:rsid w:val="001C1AC7"/>
    <w:rsid w:val="001C1C87"/>
    <w:rsid w:val="001C1E19"/>
    <w:rsid w:val="001C504D"/>
    <w:rsid w:val="001C64D7"/>
    <w:rsid w:val="001C6E5F"/>
    <w:rsid w:val="001C7CDD"/>
    <w:rsid w:val="001D03FA"/>
    <w:rsid w:val="001D1062"/>
    <w:rsid w:val="001D4CFF"/>
    <w:rsid w:val="001D4E88"/>
    <w:rsid w:val="001D54AF"/>
    <w:rsid w:val="001D5AC1"/>
    <w:rsid w:val="001D5DB9"/>
    <w:rsid w:val="001D5ED4"/>
    <w:rsid w:val="001D6DB9"/>
    <w:rsid w:val="001E13C6"/>
    <w:rsid w:val="001E3006"/>
    <w:rsid w:val="001E3880"/>
    <w:rsid w:val="001E5A2D"/>
    <w:rsid w:val="001F032C"/>
    <w:rsid w:val="001F0A0B"/>
    <w:rsid w:val="001F1B84"/>
    <w:rsid w:val="001F3C88"/>
    <w:rsid w:val="001F49BE"/>
    <w:rsid w:val="001F675F"/>
    <w:rsid w:val="001F6EDE"/>
    <w:rsid w:val="00200F97"/>
    <w:rsid w:val="00201D64"/>
    <w:rsid w:val="00201F48"/>
    <w:rsid w:val="00201FD5"/>
    <w:rsid w:val="002020BF"/>
    <w:rsid w:val="0020211B"/>
    <w:rsid w:val="002022E6"/>
    <w:rsid w:val="0020270B"/>
    <w:rsid w:val="00203FB9"/>
    <w:rsid w:val="002045F9"/>
    <w:rsid w:val="0020486C"/>
    <w:rsid w:val="00205807"/>
    <w:rsid w:val="00205A73"/>
    <w:rsid w:val="002064F8"/>
    <w:rsid w:val="0020675D"/>
    <w:rsid w:val="00207BBE"/>
    <w:rsid w:val="00210054"/>
    <w:rsid w:val="00210E59"/>
    <w:rsid w:val="0021126A"/>
    <w:rsid w:val="002128A4"/>
    <w:rsid w:val="00214FE7"/>
    <w:rsid w:val="00215D36"/>
    <w:rsid w:val="002168A8"/>
    <w:rsid w:val="00225BA8"/>
    <w:rsid w:val="002315F6"/>
    <w:rsid w:val="00232E1C"/>
    <w:rsid w:val="00235A8B"/>
    <w:rsid w:val="00235FBA"/>
    <w:rsid w:val="00236B81"/>
    <w:rsid w:val="00237027"/>
    <w:rsid w:val="002413ED"/>
    <w:rsid w:val="00242687"/>
    <w:rsid w:val="002433BF"/>
    <w:rsid w:val="002435B7"/>
    <w:rsid w:val="002443C5"/>
    <w:rsid w:val="00244872"/>
    <w:rsid w:val="00244953"/>
    <w:rsid w:val="00247529"/>
    <w:rsid w:val="00247FB3"/>
    <w:rsid w:val="00251D90"/>
    <w:rsid w:val="002526C2"/>
    <w:rsid w:val="002527F6"/>
    <w:rsid w:val="0025564D"/>
    <w:rsid w:val="00255D6E"/>
    <w:rsid w:val="00255E05"/>
    <w:rsid w:val="0025601F"/>
    <w:rsid w:val="002563FD"/>
    <w:rsid w:val="00256E8C"/>
    <w:rsid w:val="00257A2A"/>
    <w:rsid w:val="00260BE3"/>
    <w:rsid w:val="00260E46"/>
    <w:rsid w:val="00263043"/>
    <w:rsid w:val="00263954"/>
    <w:rsid w:val="00263ABF"/>
    <w:rsid w:val="002645AD"/>
    <w:rsid w:val="0026539A"/>
    <w:rsid w:val="002655E6"/>
    <w:rsid w:val="00270035"/>
    <w:rsid w:val="00270528"/>
    <w:rsid w:val="0027128C"/>
    <w:rsid w:val="00272C21"/>
    <w:rsid w:val="00274F4A"/>
    <w:rsid w:val="00275ED3"/>
    <w:rsid w:val="0027629D"/>
    <w:rsid w:val="00276B90"/>
    <w:rsid w:val="00283F20"/>
    <w:rsid w:val="002848E3"/>
    <w:rsid w:val="00284C35"/>
    <w:rsid w:val="00284CBB"/>
    <w:rsid w:val="002853A3"/>
    <w:rsid w:val="00286EE1"/>
    <w:rsid w:val="002904F3"/>
    <w:rsid w:val="00291502"/>
    <w:rsid w:val="00291E05"/>
    <w:rsid w:val="00291E57"/>
    <w:rsid w:val="002934BA"/>
    <w:rsid w:val="00293B67"/>
    <w:rsid w:val="002959D5"/>
    <w:rsid w:val="002961A4"/>
    <w:rsid w:val="00296EA0"/>
    <w:rsid w:val="002A1591"/>
    <w:rsid w:val="002A20B4"/>
    <w:rsid w:val="002A2729"/>
    <w:rsid w:val="002A2D35"/>
    <w:rsid w:val="002A3197"/>
    <w:rsid w:val="002A4CBB"/>
    <w:rsid w:val="002A4E49"/>
    <w:rsid w:val="002A553D"/>
    <w:rsid w:val="002A5F28"/>
    <w:rsid w:val="002A649F"/>
    <w:rsid w:val="002A741E"/>
    <w:rsid w:val="002A788A"/>
    <w:rsid w:val="002A7FC2"/>
    <w:rsid w:val="002B04ED"/>
    <w:rsid w:val="002B28AA"/>
    <w:rsid w:val="002B2B87"/>
    <w:rsid w:val="002B4F5E"/>
    <w:rsid w:val="002B5B52"/>
    <w:rsid w:val="002B6473"/>
    <w:rsid w:val="002C013C"/>
    <w:rsid w:val="002C1803"/>
    <w:rsid w:val="002C1AFC"/>
    <w:rsid w:val="002C2BFF"/>
    <w:rsid w:val="002C3CD3"/>
    <w:rsid w:val="002C3E0E"/>
    <w:rsid w:val="002C6B74"/>
    <w:rsid w:val="002C7BEB"/>
    <w:rsid w:val="002D0C16"/>
    <w:rsid w:val="002D1229"/>
    <w:rsid w:val="002D3119"/>
    <w:rsid w:val="002D42B7"/>
    <w:rsid w:val="002D651C"/>
    <w:rsid w:val="002D6CD6"/>
    <w:rsid w:val="002D77C0"/>
    <w:rsid w:val="002D77FD"/>
    <w:rsid w:val="002E0070"/>
    <w:rsid w:val="002E0BF4"/>
    <w:rsid w:val="002E0E25"/>
    <w:rsid w:val="002E2BC1"/>
    <w:rsid w:val="002E3102"/>
    <w:rsid w:val="002E314F"/>
    <w:rsid w:val="002E3ADF"/>
    <w:rsid w:val="002E3AFD"/>
    <w:rsid w:val="002E4055"/>
    <w:rsid w:val="002E52F8"/>
    <w:rsid w:val="002E5718"/>
    <w:rsid w:val="002E590F"/>
    <w:rsid w:val="002E5C3B"/>
    <w:rsid w:val="002E6906"/>
    <w:rsid w:val="002E713B"/>
    <w:rsid w:val="002E7651"/>
    <w:rsid w:val="002E7C53"/>
    <w:rsid w:val="002F2786"/>
    <w:rsid w:val="002F35E9"/>
    <w:rsid w:val="002F4061"/>
    <w:rsid w:val="002F4349"/>
    <w:rsid w:val="002F44B1"/>
    <w:rsid w:val="002F5C67"/>
    <w:rsid w:val="002F6410"/>
    <w:rsid w:val="00300282"/>
    <w:rsid w:val="003002F4"/>
    <w:rsid w:val="00300722"/>
    <w:rsid w:val="00300E8C"/>
    <w:rsid w:val="00301C1B"/>
    <w:rsid w:val="00301FA3"/>
    <w:rsid w:val="00302B0D"/>
    <w:rsid w:val="00302B68"/>
    <w:rsid w:val="003030B5"/>
    <w:rsid w:val="003052B1"/>
    <w:rsid w:val="00306DBE"/>
    <w:rsid w:val="00307095"/>
    <w:rsid w:val="00307587"/>
    <w:rsid w:val="00307963"/>
    <w:rsid w:val="00310E7B"/>
    <w:rsid w:val="00310FAC"/>
    <w:rsid w:val="0031180F"/>
    <w:rsid w:val="003158C7"/>
    <w:rsid w:val="00316B6D"/>
    <w:rsid w:val="00320B8F"/>
    <w:rsid w:val="003211D2"/>
    <w:rsid w:val="00321322"/>
    <w:rsid w:val="00322BAB"/>
    <w:rsid w:val="00324BC2"/>
    <w:rsid w:val="003258B7"/>
    <w:rsid w:val="003259C9"/>
    <w:rsid w:val="00326237"/>
    <w:rsid w:val="00327C84"/>
    <w:rsid w:val="003301B7"/>
    <w:rsid w:val="00330997"/>
    <w:rsid w:val="00332A0B"/>
    <w:rsid w:val="00334649"/>
    <w:rsid w:val="003353A0"/>
    <w:rsid w:val="0033563D"/>
    <w:rsid w:val="003416B5"/>
    <w:rsid w:val="00342867"/>
    <w:rsid w:val="00342BFA"/>
    <w:rsid w:val="00344374"/>
    <w:rsid w:val="00347F8B"/>
    <w:rsid w:val="0035080E"/>
    <w:rsid w:val="00351852"/>
    <w:rsid w:val="00351947"/>
    <w:rsid w:val="00351A87"/>
    <w:rsid w:val="00352BEA"/>
    <w:rsid w:val="00353E93"/>
    <w:rsid w:val="00354BF8"/>
    <w:rsid w:val="00354C61"/>
    <w:rsid w:val="003552C1"/>
    <w:rsid w:val="00355550"/>
    <w:rsid w:val="00355B08"/>
    <w:rsid w:val="003601C9"/>
    <w:rsid w:val="003614C1"/>
    <w:rsid w:val="003620A7"/>
    <w:rsid w:val="00362ECD"/>
    <w:rsid w:val="00364453"/>
    <w:rsid w:val="0036470F"/>
    <w:rsid w:val="00365076"/>
    <w:rsid w:val="003651A0"/>
    <w:rsid w:val="00366B2C"/>
    <w:rsid w:val="003673F0"/>
    <w:rsid w:val="00372018"/>
    <w:rsid w:val="00372E82"/>
    <w:rsid w:val="003731C7"/>
    <w:rsid w:val="00375B89"/>
    <w:rsid w:val="0037777A"/>
    <w:rsid w:val="003779A1"/>
    <w:rsid w:val="00377FB0"/>
    <w:rsid w:val="00377FE3"/>
    <w:rsid w:val="00380329"/>
    <w:rsid w:val="00381EFD"/>
    <w:rsid w:val="0038254C"/>
    <w:rsid w:val="003825B1"/>
    <w:rsid w:val="00382C44"/>
    <w:rsid w:val="00383192"/>
    <w:rsid w:val="00383C68"/>
    <w:rsid w:val="0038547B"/>
    <w:rsid w:val="00386B04"/>
    <w:rsid w:val="00387A3A"/>
    <w:rsid w:val="00387F14"/>
    <w:rsid w:val="003906AB"/>
    <w:rsid w:val="003916F7"/>
    <w:rsid w:val="00392A3A"/>
    <w:rsid w:val="00392DFC"/>
    <w:rsid w:val="00394F7B"/>
    <w:rsid w:val="00395584"/>
    <w:rsid w:val="00395FBC"/>
    <w:rsid w:val="003978A9"/>
    <w:rsid w:val="00397AC5"/>
    <w:rsid w:val="003A0009"/>
    <w:rsid w:val="003A099B"/>
    <w:rsid w:val="003A0C5C"/>
    <w:rsid w:val="003A18A6"/>
    <w:rsid w:val="003A2350"/>
    <w:rsid w:val="003A3135"/>
    <w:rsid w:val="003A3A54"/>
    <w:rsid w:val="003A3FBA"/>
    <w:rsid w:val="003A6CC4"/>
    <w:rsid w:val="003A7D99"/>
    <w:rsid w:val="003B0DB5"/>
    <w:rsid w:val="003B15F6"/>
    <w:rsid w:val="003B2189"/>
    <w:rsid w:val="003B3051"/>
    <w:rsid w:val="003B47A6"/>
    <w:rsid w:val="003B5BAF"/>
    <w:rsid w:val="003B6054"/>
    <w:rsid w:val="003B6ECE"/>
    <w:rsid w:val="003B7132"/>
    <w:rsid w:val="003C0E96"/>
    <w:rsid w:val="003C18AA"/>
    <w:rsid w:val="003C2878"/>
    <w:rsid w:val="003C53B6"/>
    <w:rsid w:val="003D0428"/>
    <w:rsid w:val="003D1426"/>
    <w:rsid w:val="003D22AD"/>
    <w:rsid w:val="003D23F7"/>
    <w:rsid w:val="003D2B32"/>
    <w:rsid w:val="003D4370"/>
    <w:rsid w:val="003D4B2D"/>
    <w:rsid w:val="003D4DFA"/>
    <w:rsid w:val="003E09C0"/>
    <w:rsid w:val="003E1F2B"/>
    <w:rsid w:val="003E22D4"/>
    <w:rsid w:val="003E3071"/>
    <w:rsid w:val="003E41FF"/>
    <w:rsid w:val="003E4D6E"/>
    <w:rsid w:val="003E51EB"/>
    <w:rsid w:val="003E68AA"/>
    <w:rsid w:val="003E68D2"/>
    <w:rsid w:val="003E732C"/>
    <w:rsid w:val="003E7365"/>
    <w:rsid w:val="003E74CE"/>
    <w:rsid w:val="003F0207"/>
    <w:rsid w:val="003F02DA"/>
    <w:rsid w:val="003F1B30"/>
    <w:rsid w:val="003F1B3A"/>
    <w:rsid w:val="003F1DF7"/>
    <w:rsid w:val="003F22B4"/>
    <w:rsid w:val="003F34C7"/>
    <w:rsid w:val="003F42C4"/>
    <w:rsid w:val="003F59DF"/>
    <w:rsid w:val="004006FA"/>
    <w:rsid w:val="00400CDE"/>
    <w:rsid w:val="004021AD"/>
    <w:rsid w:val="004024CE"/>
    <w:rsid w:val="00402CB4"/>
    <w:rsid w:val="0040321F"/>
    <w:rsid w:val="004036DD"/>
    <w:rsid w:val="004057D6"/>
    <w:rsid w:val="00405AAA"/>
    <w:rsid w:val="00406A60"/>
    <w:rsid w:val="004077D5"/>
    <w:rsid w:val="00407A0D"/>
    <w:rsid w:val="00411920"/>
    <w:rsid w:val="00412C49"/>
    <w:rsid w:val="0041300B"/>
    <w:rsid w:val="004138DF"/>
    <w:rsid w:val="00413E34"/>
    <w:rsid w:val="0041415B"/>
    <w:rsid w:val="004148A8"/>
    <w:rsid w:val="004155E8"/>
    <w:rsid w:val="00415C3B"/>
    <w:rsid w:val="00416C1F"/>
    <w:rsid w:val="00416E1A"/>
    <w:rsid w:val="00417E65"/>
    <w:rsid w:val="00420679"/>
    <w:rsid w:val="00423555"/>
    <w:rsid w:val="00423901"/>
    <w:rsid w:val="00424BE5"/>
    <w:rsid w:val="00424DA6"/>
    <w:rsid w:val="004259F3"/>
    <w:rsid w:val="004304D6"/>
    <w:rsid w:val="00431E0A"/>
    <w:rsid w:val="00432825"/>
    <w:rsid w:val="0043379C"/>
    <w:rsid w:val="00435753"/>
    <w:rsid w:val="00436182"/>
    <w:rsid w:val="00437820"/>
    <w:rsid w:val="004404DC"/>
    <w:rsid w:val="004407C0"/>
    <w:rsid w:val="00440E87"/>
    <w:rsid w:val="00441D88"/>
    <w:rsid w:val="004421A9"/>
    <w:rsid w:val="004421FC"/>
    <w:rsid w:val="00442897"/>
    <w:rsid w:val="00443439"/>
    <w:rsid w:val="00443607"/>
    <w:rsid w:val="004443FB"/>
    <w:rsid w:val="00446902"/>
    <w:rsid w:val="004503DE"/>
    <w:rsid w:val="004516BE"/>
    <w:rsid w:val="00451A11"/>
    <w:rsid w:val="00452300"/>
    <w:rsid w:val="00454609"/>
    <w:rsid w:val="00455517"/>
    <w:rsid w:val="004565CF"/>
    <w:rsid w:val="00457272"/>
    <w:rsid w:val="00460C42"/>
    <w:rsid w:val="0046135B"/>
    <w:rsid w:val="00461B59"/>
    <w:rsid w:val="00461E53"/>
    <w:rsid w:val="00462AD5"/>
    <w:rsid w:val="00462F26"/>
    <w:rsid w:val="0046328B"/>
    <w:rsid w:val="004650EA"/>
    <w:rsid w:val="004652A0"/>
    <w:rsid w:val="00465B53"/>
    <w:rsid w:val="00465C44"/>
    <w:rsid w:val="0046626A"/>
    <w:rsid w:val="00466579"/>
    <w:rsid w:val="004713F3"/>
    <w:rsid w:val="0047149E"/>
    <w:rsid w:val="0047183A"/>
    <w:rsid w:val="00473114"/>
    <w:rsid w:val="004732C6"/>
    <w:rsid w:val="00473BDB"/>
    <w:rsid w:val="00474457"/>
    <w:rsid w:val="004758C4"/>
    <w:rsid w:val="00476129"/>
    <w:rsid w:val="004763F3"/>
    <w:rsid w:val="00477010"/>
    <w:rsid w:val="004807C5"/>
    <w:rsid w:val="0048113F"/>
    <w:rsid w:val="00484AE7"/>
    <w:rsid w:val="00486C57"/>
    <w:rsid w:val="00487E8C"/>
    <w:rsid w:val="00491BDD"/>
    <w:rsid w:val="0049218D"/>
    <w:rsid w:val="0049253C"/>
    <w:rsid w:val="00494DB4"/>
    <w:rsid w:val="00494E3A"/>
    <w:rsid w:val="004952EB"/>
    <w:rsid w:val="0049642B"/>
    <w:rsid w:val="00497EFC"/>
    <w:rsid w:val="004A537A"/>
    <w:rsid w:val="004A5ACC"/>
    <w:rsid w:val="004A7E7A"/>
    <w:rsid w:val="004A7F1D"/>
    <w:rsid w:val="004B0ABC"/>
    <w:rsid w:val="004B29FB"/>
    <w:rsid w:val="004B2B97"/>
    <w:rsid w:val="004B3FC2"/>
    <w:rsid w:val="004B4753"/>
    <w:rsid w:val="004B4A69"/>
    <w:rsid w:val="004B4BDF"/>
    <w:rsid w:val="004B52BB"/>
    <w:rsid w:val="004B58A7"/>
    <w:rsid w:val="004B591D"/>
    <w:rsid w:val="004B5989"/>
    <w:rsid w:val="004B5B3B"/>
    <w:rsid w:val="004B6C8F"/>
    <w:rsid w:val="004C0B80"/>
    <w:rsid w:val="004C2DF0"/>
    <w:rsid w:val="004C2F14"/>
    <w:rsid w:val="004C37D1"/>
    <w:rsid w:val="004C6C28"/>
    <w:rsid w:val="004C76C1"/>
    <w:rsid w:val="004C7BD5"/>
    <w:rsid w:val="004D0053"/>
    <w:rsid w:val="004D32A3"/>
    <w:rsid w:val="004D5E14"/>
    <w:rsid w:val="004D7643"/>
    <w:rsid w:val="004D7E68"/>
    <w:rsid w:val="004E1454"/>
    <w:rsid w:val="004E16C2"/>
    <w:rsid w:val="004E17D5"/>
    <w:rsid w:val="004E1CCC"/>
    <w:rsid w:val="004E2074"/>
    <w:rsid w:val="004E2AA4"/>
    <w:rsid w:val="004E307F"/>
    <w:rsid w:val="004E3A77"/>
    <w:rsid w:val="004E7182"/>
    <w:rsid w:val="004F0147"/>
    <w:rsid w:val="004F14B7"/>
    <w:rsid w:val="004F2EA4"/>
    <w:rsid w:val="004F4962"/>
    <w:rsid w:val="004F4CC2"/>
    <w:rsid w:val="004F53A3"/>
    <w:rsid w:val="004F553E"/>
    <w:rsid w:val="004F5748"/>
    <w:rsid w:val="004F6187"/>
    <w:rsid w:val="004F7D84"/>
    <w:rsid w:val="004F7FEC"/>
    <w:rsid w:val="00500545"/>
    <w:rsid w:val="005009DC"/>
    <w:rsid w:val="00503467"/>
    <w:rsid w:val="00503D12"/>
    <w:rsid w:val="0050413E"/>
    <w:rsid w:val="00504D03"/>
    <w:rsid w:val="00505504"/>
    <w:rsid w:val="0050667A"/>
    <w:rsid w:val="00510530"/>
    <w:rsid w:val="0051129D"/>
    <w:rsid w:val="00511A02"/>
    <w:rsid w:val="00511C96"/>
    <w:rsid w:val="005133C8"/>
    <w:rsid w:val="00513C99"/>
    <w:rsid w:val="00513ED2"/>
    <w:rsid w:val="0051400F"/>
    <w:rsid w:val="00514739"/>
    <w:rsid w:val="00514D25"/>
    <w:rsid w:val="0051512D"/>
    <w:rsid w:val="00515413"/>
    <w:rsid w:val="00515A05"/>
    <w:rsid w:val="00516FE3"/>
    <w:rsid w:val="00517B99"/>
    <w:rsid w:val="005209FD"/>
    <w:rsid w:val="005215DA"/>
    <w:rsid w:val="005216D0"/>
    <w:rsid w:val="00523939"/>
    <w:rsid w:val="00524014"/>
    <w:rsid w:val="005241B9"/>
    <w:rsid w:val="005241CD"/>
    <w:rsid w:val="00524337"/>
    <w:rsid w:val="00524B83"/>
    <w:rsid w:val="0052527F"/>
    <w:rsid w:val="00525A2F"/>
    <w:rsid w:val="00526349"/>
    <w:rsid w:val="00527AA6"/>
    <w:rsid w:val="0053085C"/>
    <w:rsid w:val="005323A4"/>
    <w:rsid w:val="00532A1E"/>
    <w:rsid w:val="00532D21"/>
    <w:rsid w:val="00536058"/>
    <w:rsid w:val="00536C63"/>
    <w:rsid w:val="00537E8D"/>
    <w:rsid w:val="0054002D"/>
    <w:rsid w:val="00540C85"/>
    <w:rsid w:val="005474BC"/>
    <w:rsid w:val="00550A83"/>
    <w:rsid w:val="00550CE8"/>
    <w:rsid w:val="005527DE"/>
    <w:rsid w:val="00553655"/>
    <w:rsid w:val="00554C37"/>
    <w:rsid w:val="00555385"/>
    <w:rsid w:val="00556950"/>
    <w:rsid w:val="00556FBA"/>
    <w:rsid w:val="00560CDC"/>
    <w:rsid w:val="00563CB0"/>
    <w:rsid w:val="00565445"/>
    <w:rsid w:val="005661E0"/>
    <w:rsid w:val="0056674A"/>
    <w:rsid w:val="00566A46"/>
    <w:rsid w:val="005672B6"/>
    <w:rsid w:val="00567BDB"/>
    <w:rsid w:val="00570AB5"/>
    <w:rsid w:val="0057295A"/>
    <w:rsid w:val="00573B3E"/>
    <w:rsid w:val="00575B3E"/>
    <w:rsid w:val="00577909"/>
    <w:rsid w:val="00577EF7"/>
    <w:rsid w:val="00581AC7"/>
    <w:rsid w:val="00582209"/>
    <w:rsid w:val="00583817"/>
    <w:rsid w:val="0058401A"/>
    <w:rsid w:val="005844E2"/>
    <w:rsid w:val="00585E05"/>
    <w:rsid w:val="005863E6"/>
    <w:rsid w:val="00586F93"/>
    <w:rsid w:val="00590148"/>
    <w:rsid w:val="0059030C"/>
    <w:rsid w:val="00591F0E"/>
    <w:rsid w:val="00592F96"/>
    <w:rsid w:val="005937DB"/>
    <w:rsid w:val="00596D63"/>
    <w:rsid w:val="00597989"/>
    <w:rsid w:val="00597ABF"/>
    <w:rsid w:val="005A0BCC"/>
    <w:rsid w:val="005A12A6"/>
    <w:rsid w:val="005A2D61"/>
    <w:rsid w:val="005A4CE7"/>
    <w:rsid w:val="005A517E"/>
    <w:rsid w:val="005A67E8"/>
    <w:rsid w:val="005A72A6"/>
    <w:rsid w:val="005A7558"/>
    <w:rsid w:val="005B165F"/>
    <w:rsid w:val="005B2FE5"/>
    <w:rsid w:val="005B372A"/>
    <w:rsid w:val="005B4143"/>
    <w:rsid w:val="005B5260"/>
    <w:rsid w:val="005B5DF6"/>
    <w:rsid w:val="005B6AB9"/>
    <w:rsid w:val="005C05AB"/>
    <w:rsid w:val="005C0FB3"/>
    <w:rsid w:val="005C1144"/>
    <w:rsid w:val="005C2A07"/>
    <w:rsid w:val="005C34B7"/>
    <w:rsid w:val="005C36AD"/>
    <w:rsid w:val="005C45F6"/>
    <w:rsid w:val="005C52C7"/>
    <w:rsid w:val="005C6BF6"/>
    <w:rsid w:val="005C7009"/>
    <w:rsid w:val="005C7D76"/>
    <w:rsid w:val="005C7E59"/>
    <w:rsid w:val="005D2768"/>
    <w:rsid w:val="005D2982"/>
    <w:rsid w:val="005D32E4"/>
    <w:rsid w:val="005D49EB"/>
    <w:rsid w:val="005D59C9"/>
    <w:rsid w:val="005D6700"/>
    <w:rsid w:val="005E0A7E"/>
    <w:rsid w:val="005E1062"/>
    <w:rsid w:val="005E2120"/>
    <w:rsid w:val="005E297A"/>
    <w:rsid w:val="005E33C4"/>
    <w:rsid w:val="005E3406"/>
    <w:rsid w:val="005E352C"/>
    <w:rsid w:val="005E374B"/>
    <w:rsid w:val="005E4497"/>
    <w:rsid w:val="005E5996"/>
    <w:rsid w:val="005E5D33"/>
    <w:rsid w:val="005E64D5"/>
    <w:rsid w:val="005E692A"/>
    <w:rsid w:val="005E6EDD"/>
    <w:rsid w:val="005E72F4"/>
    <w:rsid w:val="005E77FF"/>
    <w:rsid w:val="005E7E0B"/>
    <w:rsid w:val="005E7FA2"/>
    <w:rsid w:val="005F0CCB"/>
    <w:rsid w:val="005F1375"/>
    <w:rsid w:val="005F280C"/>
    <w:rsid w:val="005F3C9F"/>
    <w:rsid w:val="005F439B"/>
    <w:rsid w:val="005F459C"/>
    <w:rsid w:val="005F4E90"/>
    <w:rsid w:val="005F6B0B"/>
    <w:rsid w:val="005F6B9D"/>
    <w:rsid w:val="005F6F11"/>
    <w:rsid w:val="00602C7F"/>
    <w:rsid w:val="0060361C"/>
    <w:rsid w:val="00604BCC"/>
    <w:rsid w:val="00604BF5"/>
    <w:rsid w:val="00606E24"/>
    <w:rsid w:val="00607EEC"/>
    <w:rsid w:val="00610BEF"/>
    <w:rsid w:val="006127BF"/>
    <w:rsid w:val="00613F4E"/>
    <w:rsid w:val="00615CFD"/>
    <w:rsid w:val="0061691D"/>
    <w:rsid w:val="00617203"/>
    <w:rsid w:val="00621724"/>
    <w:rsid w:val="006218B0"/>
    <w:rsid w:val="006225E9"/>
    <w:rsid w:val="00623AA3"/>
    <w:rsid w:val="00625333"/>
    <w:rsid w:val="00625C7D"/>
    <w:rsid w:val="0062722F"/>
    <w:rsid w:val="006279D0"/>
    <w:rsid w:val="00627ADE"/>
    <w:rsid w:val="00627BCF"/>
    <w:rsid w:val="00631372"/>
    <w:rsid w:val="00631612"/>
    <w:rsid w:val="0063219A"/>
    <w:rsid w:val="0063220D"/>
    <w:rsid w:val="0063246E"/>
    <w:rsid w:val="00632942"/>
    <w:rsid w:val="00633474"/>
    <w:rsid w:val="00633677"/>
    <w:rsid w:val="0063507A"/>
    <w:rsid w:val="00635437"/>
    <w:rsid w:val="006364DD"/>
    <w:rsid w:val="00636822"/>
    <w:rsid w:val="00636B04"/>
    <w:rsid w:val="00636BEC"/>
    <w:rsid w:val="00636DDA"/>
    <w:rsid w:val="00636F42"/>
    <w:rsid w:val="006377D5"/>
    <w:rsid w:val="00640999"/>
    <w:rsid w:val="00640B8F"/>
    <w:rsid w:val="00641609"/>
    <w:rsid w:val="0064339D"/>
    <w:rsid w:val="00643BD1"/>
    <w:rsid w:val="0064416B"/>
    <w:rsid w:val="0064473F"/>
    <w:rsid w:val="00644C99"/>
    <w:rsid w:val="00645409"/>
    <w:rsid w:val="0064627C"/>
    <w:rsid w:val="006470BD"/>
    <w:rsid w:val="00650F49"/>
    <w:rsid w:val="00650F4D"/>
    <w:rsid w:val="00651BFE"/>
    <w:rsid w:val="00651C71"/>
    <w:rsid w:val="00651CF7"/>
    <w:rsid w:val="006522EE"/>
    <w:rsid w:val="006534DA"/>
    <w:rsid w:val="006566CB"/>
    <w:rsid w:val="0065685A"/>
    <w:rsid w:val="0066001C"/>
    <w:rsid w:val="006603F0"/>
    <w:rsid w:val="00661250"/>
    <w:rsid w:val="00661AB2"/>
    <w:rsid w:val="0066209C"/>
    <w:rsid w:val="006637BF"/>
    <w:rsid w:val="00663853"/>
    <w:rsid w:val="006646A2"/>
    <w:rsid w:val="0066478C"/>
    <w:rsid w:val="00665E52"/>
    <w:rsid w:val="00666764"/>
    <w:rsid w:val="00666A3C"/>
    <w:rsid w:val="00667F7D"/>
    <w:rsid w:val="00670D08"/>
    <w:rsid w:val="0067256C"/>
    <w:rsid w:val="00672FFF"/>
    <w:rsid w:val="00673A2C"/>
    <w:rsid w:val="0067432C"/>
    <w:rsid w:val="006747E7"/>
    <w:rsid w:val="00674A92"/>
    <w:rsid w:val="0067559C"/>
    <w:rsid w:val="00675EF0"/>
    <w:rsid w:val="00675FA3"/>
    <w:rsid w:val="00676AE3"/>
    <w:rsid w:val="00676F6E"/>
    <w:rsid w:val="00677785"/>
    <w:rsid w:val="00677EFE"/>
    <w:rsid w:val="00680EF2"/>
    <w:rsid w:val="006818D2"/>
    <w:rsid w:val="00682805"/>
    <w:rsid w:val="006835FB"/>
    <w:rsid w:val="0068398D"/>
    <w:rsid w:val="00683DAA"/>
    <w:rsid w:val="0068546A"/>
    <w:rsid w:val="00685700"/>
    <w:rsid w:val="006873D5"/>
    <w:rsid w:val="00691620"/>
    <w:rsid w:val="006919D7"/>
    <w:rsid w:val="00691F50"/>
    <w:rsid w:val="006925E3"/>
    <w:rsid w:val="00693314"/>
    <w:rsid w:val="00697858"/>
    <w:rsid w:val="00697D25"/>
    <w:rsid w:val="006A27E5"/>
    <w:rsid w:val="006A331C"/>
    <w:rsid w:val="006A3A9A"/>
    <w:rsid w:val="006A5891"/>
    <w:rsid w:val="006A598F"/>
    <w:rsid w:val="006A6677"/>
    <w:rsid w:val="006A71A4"/>
    <w:rsid w:val="006B0065"/>
    <w:rsid w:val="006B030F"/>
    <w:rsid w:val="006B11CF"/>
    <w:rsid w:val="006B1302"/>
    <w:rsid w:val="006B1329"/>
    <w:rsid w:val="006B1384"/>
    <w:rsid w:val="006B1FFA"/>
    <w:rsid w:val="006B25C1"/>
    <w:rsid w:val="006B429B"/>
    <w:rsid w:val="006B4416"/>
    <w:rsid w:val="006B4D6F"/>
    <w:rsid w:val="006B68DA"/>
    <w:rsid w:val="006B68DE"/>
    <w:rsid w:val="006C022B"/>
    <w:rsid w:val="006C078D"/>
    <w:rsid w:val="006C1F8D"/>
    <w:rsid w:val="006C2AC7"/>
    <w:rsid w:val="006C306D"/>
    <w:rsid w:val="006C3574"/>
    <w:rsid w:val="006C4102"/>
    <w:rsid w:val="006C5B3E"/>
    <w:rsid w:val="006C5DC9"/>
    <w:rsid w:val="006C6FC4"/>
    <w:rsid w:val="006C7506"/>
    <w:rsid w:val="006D0B23"/>
    <w:rsid w:val="006D1A7C"/>
    <w:rsid w:val="006D1A98"/>
    <w:rsid w:val="006D1AD1"/>
    <w:rsid w:val="006D26CC"/>
    <w:rsid w:val="006D2AFB"/>
    <w:rsid w:val="006D4E2B"/>
    <w:rsid w:val="006D51BC"/>
    <w:rsid w:val="006D57B4"/>
    <w:rsid w:val="006D736D"/>
    <w:rsid w:val="006D7879"/>
    <w:rsid w:val="006E09FC"/>
    <w:rsid w:val="006E0E3C"/>
    <w:rsid w:val="006E13E8"/>
    <w:rsid w:val="006E3328"/>
    <w:rsid w:val="006E4209"/>
    <w:rsid w:val="006E46A1"/>
    <w:rsid w:val="006E5394"/>
    <w:rsid w:val="006E7FFC"/>
    <w:rsid w:val="006F0825"/>
    <w:rsid w:val="006F0EA3"/>
    <w:rsid w:val="006F21AD"/>
    <w:rsid w:val="006F2CE2"/>
    <w:rsid w:val="006F34A3"/>
    <w:rsid w:val="006F42D1"/>
    <w:rsid w:val="006F7872"/>
    <w:rsid w:val="007005F2"/>
    <w:rsid w:val="007018E7"/>
    <w:rsid w:val="00703064"/>
    <w:rsid w:val="00703AF9"/>
    <w:rsid w:val="00704B00"/>
    <w:rsid w:val="00706445"/>
    <w:rsid w:val="00706C65"/>
    <w:rsid w:val="0070711E"/>
    <w:rsid w:val="00710633"/>
    <w:rsid w:val="007108C7"/>
    <w:rsid w:val="00710BC3"/>
    <w:rsid w:val="00711316"/>
    <w:rsid w:val="00711EF1"/>
    <w:rsid w:val="00713BB8"/>
    <w:rsid w:val="00714CF9"/>
    <w:rsid w:val="00715448"/>
    <w:rsid w:val="00716F51"/>
    <w:rsid w:val="00717015"/>
    <w:rsid w:val="00723312"/>
    <w:rsid w:val="0072376F"/>
    <w:rsid w:val="00724085"/>
    <w:rsid w:val="00726588"/>
    <w:rsid w:val="00727731"/>
    <w:rsid w:val="007301C9"/>
    <w:rsid w:val="00731580"/>
    <w:rsid w:val="0073223E"/>
    <w:rsid w:val="00732626"/>
    <w:rsid w:val="00732641"/>
    <w:rsid w:val="00732EC1"/>
    <w:rsid w:val="00733E4C"/>
    <w:rsid w:val="007352B4"/>
    <w:rsid w:val="00735500"/>
    <w:rsid w:val="007358B3"/>
    <w:rsid w:val="007366FB"/>
    <w:rsid w:val="007377B8"/>
    <w:rsid w:val="00742D28"/>
    <w:rsid w:val="00742FB9"/>
    <w:rsid w:val="00743109"/>
    <w:rsid w:val="00743A6D"/>
    <w:rsid w:val="0074579D"/>
    <w:rsid w:val="00745CE0"/>
    <w:rsid w:val="007469E9"/>
    <w:rsid w:val="00746B71"/>
    <w:rsid w:val="00746BDA"/>
    <w:rsid w:val="00746E24"/>
    <w:rsid w:val="0074704A"/>
    <w:rsid w:val="007470D0"/>
    <w:rsid w:val="00747721"/>
    <w:rsid w:val="007501D7"/>
    <w:rsid w:val="007519D3"/>
    <w:rsid w:val="007521A3"/>
    <w:rsid w:val="007522E0"/>
    <w:rsid w:val="007523BB"/>
    <w:rsid w:val="0075301D"/>
    <w:rsid w:val="007530B3"/>
    <w:rsid w:val="00753464"/>
    <w:rsid w:val="00754EB5"/>
    <w:rsid w:val="00755977"/>
    <w:rsid w:val="00755D10"/>
    <w:rsid w:val="00757C55"/>
    <w:rsid w:val="00757F68"/>
    <w:rsid w:val="00760693"/>
    <w:rsid w:val="00760B5F"/>
    <w:rsid w:val="00761468"/>
    <w:rsid w:val="00761469"/>
    <w:rsid w:val="00761A1D"/>
    <w:rsid w:val="00763810"/>
    <w:rsid w:val="00763983"/>
    <w:rsid w:val="00763D72"/>
    <w:rsid w:val="0076563D"/>
    <w:rsid w:val="00767EDB"/>
    <w:rsid w:val="00770E5E"/>
    <w:rsid w:val="00772A20"/>
    <w:rsid w:val="00773AAF"/>
    <w:rsid w:val="00774060"/>
    <w:rsid w:val="00774570"/>
    <w:rsid w:val="0077515C"/>
    <w:rsid w:val="007758E5"/>
    <w:rsid w:val="00775B47"/>
    <w:rsid w:val="007761E4"/>
    <w:rsid w:val="00780482"/>
    <w:rsid w:val="007826C6"/>
    <w:rsid w:val="007839A8"/>
    <w:rsid w:val="00783A1C"/>
    <w:rsid w:val="00784129"/>
    <w:rsid w:val="00784923"/>
    <w:rsid w:val="007870B5"/>
    <w:rsid w:val="007872A7"/>
    <w:rsid w:val="00787CF0"/>
    <w:rsid w:val="00787D10"/>
    <w:rsid w:val="00787D9B"/>
    <w:rsid w:val="0079040A"/>
    <w:rsid w:val="007904E2"/>
    <w:rsid w:val="007904EB"/>
    <w:rsid w:val="00790B6E"/>
    <w:rsid w:val="00791DF6"/>
    <w:rsid w:val="00792BF3"/>
    <w:rsid w:val="00794BB9"/>
    <w:rsid w:val="0079532D"/>
    <w:rsid w:val="00795E10"/>
    <w:rsid w:val="007968C2"/>
    <w:rsid w:val="0079696B"/>
    <w:rsid w:val="007A08E7"/>
    <w:rsid w:val="007A2031"/>
    <w:rsid w:val="007A241F"/>
    <w:rsid w:val="007A2E57"/>
    <w:rsid w:val="007B1C1D"/>
    <w:rsid w:val="007B1CA7"/>
    <w:rsid w:val="007B37CE"/>
    <w:rsid w:val="007B4873"/>
    <w:rsid w:val="007B777E"/>
    <w:rsid w:val="007C0486"/>
    <w:rsid w:val="007C08F1"/>
    <w:rsid w:val="007C1E2B"/>
    <w:rsid w:val="007C2F8D"/>
    <w:rsid w:val="007C42D1"/>
    <w:rsid w:val="007C49D4"/>
    <w:rsid w:val="007C5C2C"/>
    <w:rsid w:val="007C5C59"/>
    <w:rsid w:val="007C6AED"/>
    <w:rsid w:val="007D0ED0"/>
    <w:rsid w:val="007D0EDD"/>
    <w:rsid w:val="007D23CB"/>
    <w:rsid w:val="007E018C"/>
    <w:rsid w:val="007E3A8D"/>
    <w:rsid w:val="007E46B9"/>
    <w:rsid w:val="007E478F"/>
    <w:rsid w:val="007E552F"/>
    <w:rsid w:val="007E55CA"/>
    <w:rsid w:val="007E7150"/>
    <w:rsid w:val="007F09DE"/>
    <w:rsid w:val="007F1376"/>
    <w:rsid w:val="007F2DBD"/>
    <w:rsid w:val="007F2F2F"/>
    <w:rsid w:val="007F3479"/>
    <w:rsid w:val="007F3841"/>
    <w:rsid w:val="007F6A47"/>
    <w:rsid w:val="007F6EAD"/>
    <w:rsid w:val="00800B6E"/>
    <w:rsid w:val="00800FE6"/>
    <w:rsid w:val="00801F43"/>
    <w:rsid w:val="008021C9"/>
    <w:rsid w:val="00806048"/>
    <w:rsid w:val="00806970"/>
    <w:rsid w:val="00807008"/>
    <w:rsid w:val="008102F5"/>
    <w:rsid w:val="0081133B"/>
    <w:rsid w:val="00811A01"/>
    <w:rsid w:val="00811CF2"/>
    <w:rsid w:val="0081217F"/>
    <w:rsid w:val="008122FA"/>
    <w:rsid w:val="00812456"/>
    <w:rsid w:val="008124BF"/>
    <w:rsid w:val="00813A34"/>
    <w:rsid w:val="00814A1D"/>
    <w:rsid w:val="00815023"/>
    <w:rsid w:val="00816EA6"/>
    <w:rsid w:val="00820C02"/>
    <w:rsid w:val="0082460E"/>
    <w:rsid w:val="00824E82"/>
    <w:rsid w:val="00826466"/>
    <w:rsid w:val="00826943"/>
    <w:rsid w:val="00827AEC"/>
    <w:rsid w:val="00827B67"/>
    <w:rsid w:val="0083017B"/>
    <w:rsid w:val="00830CDF"/>
    <w:rsid w:val="00831B69"/>
    <w:rsid w:val="00832B88"/>
    <w:rsid w:val="00832C6D"/>
    <w:rsid w:val="00833023"/>
    <w:rsid w:val="00833549"/>
    <w:rsid w:val="0083412C"/>
    <w:rsid w:val="00837AB4"/>
    <w:rsid w:val="00840680"/>
    <w:rsid w:val="0084243B"/>
    <w:rsid w:val="00843155"/>
    <w:rsid w:val="00851778"/>
    <w:rsid w:val="008530E4"/>
    <w:rsid w:val="00853558"/>
    <w:rsid w:val="00853D61"/>
    <w:rsid w:val="00855109"/>
    <w:rsid w:val="00855BD2"/>
    <w:rsid w:val="008560E5"/>
    <w:rsid w:val="00857A58"/>
    <w:rsid w:val="00857AFA"/>
    <w:rsid w:val="008609B2"/>
    <w:rsid w:val="008609CB"/>
    <w:rsid w:val="00860CF2"/>
    <w:rsid w:val="00862DC0"/>
    <w:rsid w:val="0086460B"/>
    <w:rsid w:val="008648A6"/>
    <w:rsid w:val="00864FC9"/>
    <w:rsid w:val="00865F07"/>
    <w:rsid w:val="00867D65"/>
    <w:rsid w:val="00867F1A"/>
    <w:rsid w:val="0087018D"/>
    <w:rsid w:val="00870E06"/>
    <w:rsid w:val="0087217F"/>
    <w:rsid w:val="008727EA"/>
    <w:rsid w:val="00873954"/>
    <w:rsid w:val="00875F42"/>
    <w:rsid w:val="00876CD4"/>
    <w:rsid w:val="0087706B"/>
    <w:rsid w:val="00877761"/>
    <w:rsid w:val="008803AD"/>
    <w:rsid w:val="00880815"/>
    <w:rsid w:val="008808E2"/>
    <w:rsid w:val="0088137C"/>
    <w:rsid w:val="008817B2"/>
    <w:rsid w:val="0088185D"/>
    <w:rsid w:val="00881DBE"/>
    <w:rsid w:val="0088382F"/>
    <w:rsid w:val="00885D07"/>
    <w:rsid w:val="0088626A"/>
    <w:rsid w:val="008878B2"/>
    <w:rsid w:val="008900D4"/>
    <w:rsid w:val="00891105"/>
    <w:rsid w:val="008919CE"/>
    <w:rsid w:val="00892086"/>
    <w:rsid w:val="00893766"/>
    <w:rsid w:val="0089396B"/>
    <w:rsid w:val="00895118"/>
    <w:rsid w:val="0089531C"/>
    <w:rsid w:val="00896062"/>
    <w:rsid w:val="008960F4"/>
    <w:rsid w:val="00896347"/>
    <w:rsid w:val="00896D60"/>
    <w:rsid w:val="008A015F"/>
    <w:rsid w:val="008A03AF"/>
    <w:rsid w:val="008A14F4"/>
    <w:rsid w:val="008A27A5"/>
    <w:rsid w:val="008A2ECF"/>
    <w:rsid w:val="008A2FDF"/>
    <w:rsid w:val="008A32D0"/>
    <w:rsid w:val="008A395C"/>
    <w:rsid w:val="008A47FD"/>
    <w:rsid w:val="008A55CB"/>
    <w:rsid w:val="008A6165"/>
    <w:rsid w:val="008A6AF3"/>
    <w:rsid w:val="008A6DCD"/>
    <w:rsid w:val="008A7F79"/>
    <w:rsid w:val="008B04C0"/>
    <w:rsid w:val="008B05C3"/>
    <w:rsid w:val="008B0833"/>
    <w:rsid w:val="008B118A"/>
    <w:rsid w:val="008B26F5"/>
    <w:rsid w:val="008B398F"/>
    <w:rsid w:val="008B63FB"/>
    <w:rsid w:val="008B76F4"/>
    <w:rsid w:val="008C0C90"/>
    <w:rsid w:val="008C18F0"/>
    <w:rsid w:val="008C21FE"/>
    <w:rsid w:val="008C259F"/>
    <w:rsid w:val="008C27F7"/>
    <w:rsid w:val="008C2B78"/>
    <w:rsid w:val="008C3793"/>
    <w:rsid w:val="008C4508"/>
    <w:rsid w:val="008C4658"/>
    <w:rsid w:val="008C4A7C"/>
    <w:rsid w:val="008C4A89"/>
    <w:rsid w:val="008D2038"/>
    <w:rsid w:val="008D227C"/>
    <w:rsid w:val="008D27CD"/>
    <w:rsid w:val="008D6D9E"/>
    <w:rsid w:val="008E112E"/>
    <w:rsid w:val="008E29C6"/>
    <w:rsid w:val="008E2E44"/>
    <w:rsid w:val="008E381D"/>
    <w:rsid w:val="008E4FFF"/>
    <w:rsid w:val="008E5989"/>
    <w:rsid w:val="008E65CA"/>
    <w:rsid w:val="008E6FB8"/>
    <w:rsid w:val="008F1D82"/>
    <w:rsid w:val="008F1E14"/>
    <w:rsid w:val="008F1FA3"/>
    <w:rsid w:val="008F2845"/>
    <w:rsid w:val="008F28FC"/>
    <w:rsid w:val="008F3758"/>
    <w:rsid w:val="008F44C6"/>
    <w:rsid w:val="008F475D"/>
    <w:rsid w:val="008F4A19"/>
    <w:rsid w:val="008F6148"/>
    <w:rsid w:val="008F6611"/>
    <w:rsid w:val="008F6DD7"/>
    <w:rsid w:val="008F770F"/>
    <w:rsid w:val="008F7C6D"/>
    <w:rsid w:val="00901E4A"/>
    <w:rsid w:val="0090293F"/>
    <w:rsid w:val="00902983"/>
    <w:rsid w:val="0090338B"/>
    <w:rsid w:val="00904493"/>
    <w:rsid w:val="00904BF9"/>
    <w:rsid w:val="00904EDF"/>
    <w:rsid w:val="00904F1E"/>
    <w:rsid w:val="00906C01"/>
    <w:rsid w:val="00906DD0"/>
    <w:rsid w:val="00906F35"/>
    <w:rsid w:val="00910E88"/>
    <w:rsid w:val="00911425"/>
    <w:rsid w:val="009125B9"/>
    <w:rsid w:val="009126C1"/>
    <w:rsid w:val="00912DAF"/>
    <w:rsid w:val="00913BCE"/>
    <w:rsid w:val="00914093"/>
    <w:rsid w:val="00914EF1"/>
    <w:rsid w:val="00915228"/>
    <w:rsid w:val="0091558A"/>
    <w:rsid w:val="00915842"/>
    <w:rsid w:val="00915900"/>
    <w:rsid w:val="00915A5B"/>
    <w:rsid w:val="00915F0A"/>
    <w:rsid w:val="00917484"/>
    <w:rsid w:val="009209AB"/>
    <w:rsid w:val="00921F5C"/>
    <w:rsid w:val="00922BBB"/>
    <w:rsid w:val="0092618C"/>
    <w:rsid w:val="0092687F"/>
    <w:rsid w:val="0093066A"/>
    <w:rsid w:val="00930F01"/>
    <w:rsid w:val="00931F75"/>
    <w:rsid w:val="009333BB"/>
    <w:rsid w:val="00934F1D"/>
    <w:rsid w:val="0093554F"/>
    <w:rsid w:val="00935687"/>
    <w:rsid w:val="00936A99"/>
    <w:rsid w:val="00936CDC"/>
    <w:rsid w:val="00937019"/>
    <w:rsid w:val="009372C9"/>
    <w:rsid w:val="00940A99"/>
    <w:rsid w:val="00941584"/>
    <w:rsid w:val="009417EC"/>
    <w:rsid w:val="009447E1"/>
    <w:rsid w:val="00944A33"/>
    <w:rsid w:val="00944E68"/>
    <w:rsid w:val="009450E9"/>
    <w:rsid w:val="00950F4D"/>
    <w:rsid w:val="009523F5"/>
    <w:rsid w:val="00953659"/>
    <w:rsid w:val="00954EBF"/>
    <w:rsid w:val="0095516D"/>
    <w:rsid w:val="00955427"/>
    <w:rsid w:val="00955C2B"/>
    <w:rsid w:val="00955E47"/>
    <w:rsid w:val="009562FF"/>
    <w:rsid w:val="00956585"/>
    <w:rsid w:val="00957111"/>
    <w:rsid w:val="009572BE"/>
    <w:rsid w:val="00957FD4"/>
    <w:rsid w:val="009624B1"/>
    <w:rsid w:val="00964BFD"/>
    <w:rsid w:val="009667A6"/>
    <w:rsid w:val="00970A2C"/>
    <w:rsid w:val="00971119"/>
    <w:rsid w:val="00971658"/>
    <w:rsid w:val="009716CF"/>
    <w:rsid w:val="009719CA"/>
    <w:rsid w:val="00971F3D"/>
    <w:rsid w:val="009724FB"/>
    <w:rsid w:val="00972A7B"/>
    <w:rsid w:val="00972DB8"/>
    <w:rsid w:val="00974265"/>
    <w:rsid w:val="009746DA"/>
    <w:rsid w:val="00980043"/>
    <w:rsid w:val="009803F3"/>
    <w:rsid w:val="00982E31"/>
    <w:rsid w:val="009844C0"/>
    <w:rsid w:val="00986593"/>
    <w:rsid w:val="00991FEA"/>
    <w:rsid w:val="00993E87"/>
    <w:rsid w:val="0099613B"/>
    <w:rsid w:val="009962FB"/>
    <w:rsid w:val="00996F93"/>
    <w:rsid w:val="00997837"/>
    <w:rsid w:val="009978AB"/>
    <w:rsid w:val="00997E9C"/>
    <w:rsid w:val="009A13C4"/>
    <w:rsid w:val="009A2A87"/>
    <w:rsid w:val="009A2F9C"/>
    <w:rsid w:val="009A3C02"/>
    <w:rsid w:val="009A5140"/>
    <w:rsid w:val="009A5667"/>
    <w:rsid w:val="009A5A46"/>
    <w:rsid w:val="009A699F"/>
    <w:rsid w:val="009B01DA"/>
    <w:rsid w:val="009B129E"/>
    <w:rsid w:val="009B14D3"/>
    <w:rsid w:val="009B1D53"/>
    <w:rsid w:val="009B3406"/>
    <w:rsid w:val="009B478B"/>
    <w:rsid w:val="009B5375"/>
    <w:rsid w:val="009B654E"/>
    <w:rsid w:val="009B6C9F"/>
    <w:rsid w:val="009B790D"/>
    <w:rsid w:val="009C0C2F"/>
    <w:rsid w:val="009C3210"/>
    <w:rsid w:val="009C34A1"/>
    <w:rsid w:val="009C3592"/>
    <w:rsid w:val="009C4B7C"/>
    <w:rsid w:val="009C4FD3"/>
    <w:rsid w:val="009C6EF0"/>
    <w:rsid w:val="009D27BC"/>
    <w:rsid w:val="009D4454"/>
    <w:rsid w:val="009D5998"/>
    <w:rsid w:val="009D6401"/>
    <w:rsid w:val="009D6D1F"/>
    <w:rsid w:val="009E105C"/>
    <w:rsid w:val="009E4BE9"/>
    <w:rsid w:val="009E50E6"/>
    <w:rsid w:val="009E5888"/>
    <w:rsid w:val="009E6AEF"/>
    <w:rsid w:val="009F0446"/>
    <w:rsid w:val="009F12C0"/>
    <w:rsid w:val="009F299B"/>
    <w:rsid w:val="009F366C"/>
    <w:rsid w:val="009F52CB"/>
    <w:rsid w:val="009F5659"/>
    <w:rsid w:val="009F6974"/>
    <w:rsid w:val="009F6C56"/>
    <w:rsid w:val="009F714F"/>
    <w:rsid w:val="00A0039E"/>
    <w:rsid w:val="00A01035"/>
    <w:rsid w:val="00A01A41"/>
    <w:rsid w:val="00A01CA1"/>
    <w:rsid w:val="00A0353A"/>
    <w:rsid w:val="00A03C31"/>
    <w:rsid w:val="00A0421F"/>
    <w:rsid w:val="00A0517E"/>
    <w:rsid w:val="00A058D9"/>
    <w:rsid w:val="00A064D1"/>
    <w:rsid w:val="00A06DC8"/>
    <w:rsid w:val="00A07A84"/>
    <w:rsid w:val="00A10510"/>
    <w:rsid w:val="00A120B1"/>
    <w:rsid w:val="00A125AF"/>
    <w:rsid w:val="00A12A18"/>
    <w:rsid w:val="00A133D1"/>
    <w:rsid w:val="00A14F61"/>
    <w:rsid w:val="00A15C5A"/>
    <w:rsid w:val="00A1634C"/>
    <w:rsid w:val="00A17E48"/>
    <w:rsid w:val="00A21531"/>
    <w:rsid w:val="00A219CE"/>
    <w:rsid w:val="00A23352"/>
    <w:rsid w:val="00A2470A"/>
    <w:rsid w:val="00A31E20"/>
    <w:rsid w:val="00A322EF"/>
    <w:rsid w:val="00A339D8"/>
    <w:rsid w:val="00A33BB2"/>
    <w:rsid w:val="00A33F25"/>
    <w:rsid w:val="00A343DD"/>
    <w:rsid w:val="00A35F7B"/>
    <w:rsid w:val="00A36168"/>
    <w:rsid w:val="00A361AE"/>
    <w:rsid w:val="00A36927"/>
    <w:rsid w:val="00A415C7"/>
    <w:rsid w:val="00A41A67"/>
    <w:rsid w:val="00A43609"/>
    <w:rsid w:val="00A436FA"/>
    <w:rsid w:val="00A43C8E"/>
    <w:rsid w:val="00A44203"/>
    <w:rsid w:val="00A47185"/>
    <w:rsid w:val="00A5110C"/>
    <w:rsid w:val="00A51598"/>
    <w:rsid w:val="00A515B2"/>
    <w:rsid w:val="00A51A93"/>
    <w:rsid w:val="00A54D42"/>
    <w:rsid w:val="00A57B03"/>
    <w:rsid w:val="00A57CA4"/>
    <w:rsid w:val="00A60992"/>
    <w:rsid w:val="00A60A46"/>
    <w:rsid w:val="00A611B0"/>
    <w:rsid w:val="00A62F8B"/>
    <w:rsid w:val="00A64AAB"/>
    <w:rsid w:val="00A65158"/>
    <w:rsid w:val="00A6543E"/>
    <w:rsid w:val="00A66054"/>
    <w:rsid w:val="00A66336"/>
    <w:rsid w:val="00A66939"/>
    <w:rsid w:val="00A7080C"/>
    <w:rsid w:val="00A712F2"/>
    <w:rsid w:val="00A71A13"/>
    <w:rsid w:val="00A71C23"/>
    <w:rsid w:val="00A71E59"/>
    <w:rsid w:val="00A72285"/>
    <w:rsid w:val="00A725BD"/>
    <w:rsid w:val="00A7415C"/>
    <w:rsid w:val="00A75A9C"/>
    <w:rsid w:val="00A762EE"/>
    <w:rsid w:val="00A8047F"/>
    <w:rsid w:val="00A80D83"/>
    <w:rsid w:val="00A81A64"/>
    <w:rsid w:val="00A823EF"/>
    <w:rsid w:val="00A83C1C"/>
    <w:rsid w:val="00A85047"/>
    <w:rsid w:val="00A8612C"/>
    <w:rsid w:val="00A8637B"/>
    <w:rsid w:val="00A86792"/>
    <w:rsid w:val="00A87B7C"/>
    <w:rsid w:val="00A90456"/>
    <w:rsid w:val="00A907CB"/>
    <w:rsid w:val="00A90858"/>
    <w:rsid w:val="00A9368D"/>
    <w:rsid w:val="00A94182"/>
    <w:rsid w:val="00A943D0"/>
    <w:rsid w:val="00A949B4"/>
    <w:rsid w:val="00A9507D"/>
    <w:rsid w:val="00A955DC"/>
    <w:rsid w:val="00A95CC6"/>
    <w:rsid w:val="00A96185"/>
    <w:rsid w:val="00A9702C"/>
    <w:rsid w:val="00AA0849"/>
    <w:rsid w:val="00AA0FB3"/>
    <w:rsid w:val="00AA2451"/>
    <w:rsid w:val="00AA380A"/>
    <w:rsid w:val="00AA3BD1"/>
    <w:rsid w:val="00AA51C4"/>
    <w:rsid w:val="00AA54E0"/>
    <w:rsid w:val="00AA5C5A"/>
    <w:rsid w:val="00AA5E4F"/>
    <w:rsid w:val="00AB03E8"/>
    <w:rsid w:val="00AB05EC"/>
    <w:rsid w:val="00AB172A"/>
    <w:rsid w:val="00AB1EEC"/>
    <w:rsid w:val="00AB23C3"/>
    <w:rsid w:val="00AB23E1"/>
    <w:rsid w:val="00AB2C87"/>
    <w:rsid w:val="00AB361E"/>
    <w:rsid w:val="00AB3BB8"/>
    <w:rsid w:val="00AB3FBA"/>
    <w:rsid w:val="00AB41C2"/>
    <w:rsid w:val="00AB4AED"/>
    <w:rsid w:val="00AB51D4"/>
    <w:rsid w:val="00AB5442"/>
    <w:rsid w:val="00AB6B71"/>
    <w:rsid w:val="00AB7381"/>
    <w:rsid w:val="00AC0B6F"/>
    <w:rsid w:val="00AC0EC6"/>
    <w:rsid w:val="00AC1543"/>
    <w:rsid w:val="00AC305D"/>
    <w:rsid w:val="00AC3441"/>
    <w:rsid w:val="00AC410E"/>
    <w:rsid w:val="00AC53C9"/>
    <w:rsid w:val="00AC5D7D"/>
    <w:rsid w:val="00AC751F"/>
    <w:rsid w:val="00AD1D1E"/>
    <w:rsid w:val="00AD2D99"/>
    <w:rsid w:val="00AD324E"/>
    <w:rsid w:val="00AD48D1"/>
    <w:rsid w:val="00AD5D78"/>
    <w:rsid w:val="00AD7353"/>
    <w:rsid w:val="00AD776C"/>
    <w:rsid w:val="00AE131D"/>
    <w:rsid w:val="00AE1B90"/>
    <w:rsid w:val="00AE22F9"/>
    <w:rsid w:val="00AE2343"/>
    <w:rsid w:val="00AE496C"/>
    <w:rsid w:val="00AE56EE"/>
    <w:rsid w:val="00AE76B4"/>
    <w:rsid w:val="00AE7887"/>
    <w:rsid w:val="00AF00B1"/>
    <w:rsid w:val="00AF1774"/>
    <w:rsid w:val="00AF330A"/>
    <w:rsid w:val="00AF3745"/>
    <w:rsid w:val="00AF56E2"/>
    <w:rsid w:val="00AF57CA"/>
    <w:rsid w:val="00AF605B"/>
    <w:rsid w:val="00AF7A08"/>
    <w:rsid w:val="00AF7A54"/>
    <w:rsid w:val="00B0193D"/>
    <w:rsid w:val="00B01EF4"/>
    <w:rsid w:val="00B03B0C"/>
    <w:rsid w:val="00B03D07"/>
    <w:rsid w:val="00B04426"/>
    <w:rsid w:val="00B04466"/>
    <w:rsid w:val="00B04981"/>
    <w:rsid w:val="00B05334"/>
    <w:rsid w:val="00B10F5B"/>
    <w:rsid w:val="00B13E24"/>
    <w:rsid w:val="00B14E5E"/>
    <w:rsid w:val="00B15BC0"/>
    <w:rsid w:val="00B16F6B"/>
    <w:rsid w:val="00B1778A"/>
    <w:rsid w:val="00B17A32"/>
    <w:rsid w:val="00B21D9B"/>
    <w:rsid w:val="00B220B2"/>
    <w:rsid w:val="00B2274E"/>
    <w:rsid w:val="00B236C2"/>
    <w:rsid w:val="00B237F0"/>
    <w:rsid w:val="00B2390D"/>
    <w:rsid w:val="00B23F1C"/>
    <w:rsid w:val="00B25718"/>
    <w:rsid w:val="00B26872"/>
    <w:rsid w:val="00B305FB"/>
    <w:rsid w:val="00B31A30"/>
    <w:rsid w:val="00B331D4"/>
    <w:rsid w:val="00B33371"/>
    <w:rsid w:val="00B34151"/>
    <w:rsid w:val="00B34709"/>
    <w:rsid w:val="00B368F0"/>
    <w:rsid w:val="00B37F0A"/>
    <w:rsid w:val="00B40A01"/>
    <w:rsid w:val="00B41373"/>
    <w:rsid w:val="00B419E7"/>
    <w:rsid w:val="00B41A8F"/>
    <w:rsid w:val="00B42148"/>
    <w:rsid w:val="00B421EF"/>
    <w:rsid w:val="00B4401B"/>
    <w:rsid w:val="00B44A0D"/>
    <w:rsid w:val="00B4690B"/>
    <w:rsid w:val="00B47CB4"/>
    <w:rsid w:val="00B47D79"/>
    <w:rsid w:val="00B5289E"/>
    <w:rsid w:val="00B53727"/>
    <w:rsid w:val="00B53AC2"/>
    <w:rsid w:val="00B557DE"/>
    <w:rsid w:val="00B55A98"/>
    <w:rsid w:val="00B55B90"/>
    <w:rsid w:val="00B60518"/>
    <w:rsid w:val="00B62BBA"/>
    <w:rsid w:val="00B63B5E"/>
    <w:rsid w:val="00B648F0"/>
    <w:rsid w:val="00B657BA"/>
    <w:rsid w:val="00B6612D"/>
    <w:rsid w:val="00B66791"/>
    <w:rsid w:val="00B66A21"/>
    <w:rsid w:val="00B71848"/>
    <w:rsid w:val="00B72426"/>
    <w:rsid w:val="00B73381"/>
    <w:rsid w:val="00B73CFD"/>
    <w:rsid w:val="00B7510C"/>
    <w:rsid w:val="00B75A93"/>
    <w:rsid w:val="00B75D19"/>
    <w:rsid w:val="00B764FD"/>
    <w:rsid w:val="00B76CFF"/>
    <w:rsid w:val="00B7732D"/>
    <w:rsid w:val="00B80BEF"/>
    <w:rsid w:val="00B80FDE"/>
    <w:rsid w:val="00B811D6"/>
    <w:rsid w:val="00B816D5"/>
    <w:rsid w:val="00B82361"/>
    <w:rsid w:val="00B8374F"/>
    <w:rsid w:val="00B8444B"/>
    <w:rsid w:val="00B84A5B"/>
    <w:rsid w:val="00B84F32"/>
    <w:rsid w:val="00B86D7E"/>
    <w:rsid w:val="00B87DE1"/>
    <w:rsid w:val="00B913CD"/>
    <w:rsid w:val="00B915E2"/>
    <w:rsid w:val="00B930B0"/>
    <w:rsid w:val="00B951C8"/>
    <w:rsid w:val="00B97CB7"/>
    <w:rsid w:val="00BA022F"/>
    <w:rsid w:val="00BA09B0"/>
    <w:rsid w:val="00BA173A"/>
    <w:rsid w:val="00BA1BBC"/>
    <w:rsid w:val="00BA1DB7"/>
    <w:rsid w:val="00BA260B"/>
    <w:rsid w:val="00BA3738"/>
    <w:rsid w:val="00BA39D8"/>
    <w:rsid w:val="00BA43B2"/>
    <w:rsid w:val="00BA4896"/>
    <w:rsid w:val="00BA4FCA"/>
    <w:rsid w:val="00BA71E8"/>
    <w:rsid w:val="00BA7723"/>
    <w:rsid w:val="00BB09C3"/>
    <w:rsid w:val="00BB46F8"/>
    <w:rsid w:val="00BB62F2"/>
    <w:rsid w:val="00BB6FA7"/>
    <w:rsid w:val="00BC0EE4"/>
    <w:rsid w:val="00BC1A90"/>
    <w:rsid w:val="00BC3193"/>
    <w:rsid w:val="00BC3D8B"/>
    <w:rsid w:val="00BC57FF"/>
    <w:rsid w:val="00BC59A9"/>
    <w:rsid w:val="00BC5F66"/>
    <w:rsid w:val="00BC76E1"/>
    <w:rsid w:val="00BC7917"/>
    <w:rsid w:val="00BC793B"/>
    <w:rsid w:val="00BC7BFF"/>
    <w:rsid w:val="00BC7CF5"/>
    <w:rsid w:val="00BC7DEF"/>
    <w:rsid w:val="00BD004E"/>
    <w:rsid w:val="00BD1D47"/>
    <w:rsid w:val="00BD1F72"/>
    <w:rsid w:val="00BD2CD6"/>
    <w:rsid w:val="00BD2D1D"/>
    <w:rsid w:val="00BD6EEF"/>
    <w:rsid w:val="00BD7A73"/>
    <w:rsid w:val="00BE3A0E"/>
    <w:rsid w:val="00BE431B"/>
    <w:rsid w:val="00BE4D3C"/>
    <w:rsid w:val="00BE514E"/>
    <w:rsid w:val="00BE559B"/>
    <w:rsid w:val="00BE64F2"/>
    <w:rsid w:val="00BE789C"/>
    <w:rsid w:val="00BF06BE"/>
    <w:rsid w:val="00BF14BF"/>
    <w:rsid w:val="00BF23AD"/>
    <w:rsid w:val="00BF3D4A"/>
    <w:rsid w:val="00BF5A3B"/>
    <w:rsid w:val="00BF638C"/>
    <w:rsid w:val="00BF674C"/>
    <w:rsid w:val="00BF706B"/>
    <w:rsid w:val="00BF7659"/>
    <w:rsid w:val="00C017E5"/>
    <w:rsid w:val="00C01899"/>
    <w:rsid w:val="00C0194E"/>
    <w:rsid w:val="00C0314A"/>
    <w:rsid w:val="00C03F59"/>
    <w:rsid w:val="00C04596"/>
    <w:rsid w:val="00C07A5D"/>
    <w:rsid w:val="00C10AFD"/>
    <w:rsid w:val="00C11862"/>
    <w:rsid w:val="00C12EC0"/>
    <w:rsid w:val="00C14923"/>
    <w:rsid w:val="00C16B98"/>
    <w:rsid w:val="00C175C8"/>
    <w:rsid w:val="00C17FA8"/>
    <w:rsid w:val="00C20C14"/>
    <w:rsid w:val="00C22F3B"/>
    <w:rsid w:val="00C24FB8"/>
    <w:rsid w:val="00C25D31"/>
    <w:rsid w:val="00C27251"/>
    <w:rsid w:val="00C30B75"/>
    <w:rsid w:val="00C30F77"/>
    <w:rsid w:val="00C3188B"/>
    <w:rsid w:val="00C31973"/>
    <w:rsid w:val="00C31D49"/>
    <w:rsid w:val="00C347EC"/>
    <w:rsid w:val="00C350A6"/>
    <w:rsid w:val="00C365D8"/>
    <w:rsid w:val="00C369C6"/>
    <w:rsid w:val="00C37006"/>
    <w:rsid w:val="00C37E91"/>
    <w:rsid w:val="00C40C12"/>
    <w:rsid w:val="00C411FD"/>
    <w:rsid w:val="00C433E1"/>
    <w:rsid w:val="00C43802"/>
    <w:rsid w:val="00C445E5"/>
    <w:rsid w:val="00C447E2"/>
    <w:rsid w:val="00C44B22"/>
    <w:rsid w:val="00C44D21"/>
    <w:rsid w:val="00C452B9"/>
    <w:rsid w:val="00C46051"/>
    <w:rsid w:val="00C46839"/>
    <w:rsid w:val="00C4745C"/>
    <w:rsid w:val="00C4783B"/>
    <w:rsid w:val="00C519CE"/>
    <w:rsid w:val="00C560F7"/>
    <w:rsid w:val="00C60A24"/>
    <w:rsid w:val="00C60C60"/>
    <w:rsid w:val="00C61351"/>
    <w:rsid w:val="00C62066"/>
    <w:rsid w:val="00C62B48"/>
    <w:rsid w:val="00C635DE"/>
    <w:rsid w:val="00C636A6"/>
    <w:rsid w:val="00C63832"/>
    <w:rsid w:val="00C64812"/>
    <w:rsid w:val="00C667E9"/>
    <w:rsid w:val="00C67902"/>
    <w:rsid w:val="00C707F4"/>
    <w:rsid w:val="00C71F34"/>
    <w:rsid w:val="00C74B29"/>
    <w:rsid w:val="00C74C7B"/>
    <w:rsid w:val="00C74C84"/>
    <w:rsid w:val="00C74EA9"/>
    <w:rsid w:val="00C75648"/>
    <w:rsid w:val="00C76383"/>
    <w:rsid w:val="00C77E5F"/>
    <w:rsid w:val="00C80190"/>
    <w:rsid w:val="00C8085E"/>
    <w:rsid w:val="00C81D2B"/>
    <w:rsid w:val="00C826CB"/>
    <w:rsid w:val="00C826E9"/>
    <w:rsid w:val="00C82EEE"/>
    <w:rsid w:val="00C84396"/>
    <w:rsid w:val="00C86CD3"/>
    <w:rsid w:val="00C87A2E"/>
    <w:rsid w:val="00C91329"/>
    <w:rsid w:val="00C92195"/>
    <w:rsid w:val="00C92BBC"/>
    <w:rsid w:val="00C931E9"/>
    <w:rsid w:val="00C93ADB"/>
    <w:rsid w:val="00C946AB"/>
    <w:rsid w:val="00C95204"/>
    <w:rsid w:val="00C96371"/>
    <w:rsid w:val="00C9759F"/>
    <w:rsid w:val="00CA1090"/>
    <w:rsid w:val="00CA113C"/>
    <w:rsid w:val="00CA2289"/>
    <w:rsid w:val="00CA3C23"/>
    <w:rsid w:val="00CA4480"/>
    <w:rsid w:val="00CA56F1"/>
    <w:rsid w:val="00CA59D3"/>
    <w:rsid w:val="00CA6D77"/>
    <w:rsid w:val="00CA6E3E"/>
    <w:rsid w:val="00CA6FE4"/>
    <w:rsid w:val="00CB0C1F"/>
    <w:rsid w:val="00CB1DCB"/>
    <w:rsid w:val="00CB2CB2"/>
    <w:rsid w:val="00CB357E"/>
    <w:rsid w:val="00CB35B0"/>
    <w:rsid w:val="00CB40D7"/>
    <w:rsid w:val="00CB595C"/>
    <w:rsid w:val="00CB5F0F"/>
    <w:rsid w:val="00CB6723"/>
    <w:rsid w:val="00CB7B1B"/>
    <w:rsid w:val="00CB7CED"/>
    <w:rsid w:val="00CC01BB"/>
    <w:rsid w:val="00CC0C4D"/>
    <w:rsid w:val="00CC111D"/>
    <w:rsid w:val="00CC1C81"/>
    <w:rsid w:val="00CC1F78"/>
    <w:rsid w:val="00CC288B"/>
    <w:rsid w:val="00CC36EE"/>
    <w:rsid w:val="00CC39A9"/>
    <w:rsid w:val="00CC48E2"/>
    <w:rsid w:val="00CC520E"/>
    <w:rsid w:val="00CC655B"/>
    <w:rsid w:val="00CC6716"/>
    <w:rsid w:val="00CC6ADA"/>
    <w:rsid w:val="00CC7AC1"/>
    <w:rsid w:val="00CC7D82"/>
    <w:rsid w:val="00CD3D46"/>
    <w:rsid w:val="00CD3FB6"/>
    <w:rsid w:val="00CD4AD5"/>
    <w:rsid w:val="00CD678B"/>
    <w:rsid w:val="00CE2E50"/>
    <w:rsid w:val="00CE2FD4"/>
    <w:rsid w:val="00CE43AC"/>
    <w:rsid w:val="00CE602C"/>
    <w:rsid w:val="00CE6941"/>
    <w:rsid w:val="00CF1943"/>
    <w:rsid w:val="00CF1ACF"/>
    <w:rsid w:val="00CF1BFF"/>
    <w:rsid w:val="00CF1DBD"/>
    <w:rsid w:val="00CF4AA9"/>
    <w:rsid w:val="00CF5BF4"/>
    <w:rsid w:val="00CF5FFE"/>
    <w:rsid w:val="00CF640F"/>
    <w:rsid w:val="00CF6757"/>
    <w:rsid w:val="00CF72FB"/>
    <w:rsid w:val="00CF7C88"/>
    <w:rsid w:val="00D01028"/>
    <w:rsid w:val="00D01959"/>
    <w:rsid w:val="00D0197E"/>
    <w:rsid w:val="00D04ECD"/>
    <w:rsid w:val="00D05FC2"/>
    <w:rsid w:val="00D10CE1"/>
    <w:rsid w:val="00D11677"/>
    <w:rsid w:val="00D14AD7"/>
    <w:rsid w:val="00D16071"/>
    <w:rsid w:val="00D1645D"/>
    <w:rsid w:val="00D16648"/>
    <w:rsid w:val="00D208A9"/>
    <w:rsid w:val="00D20D18"/>
    <w:rsid w:val="00D22374"/>
    <w:rsid w:val="00D22F24"/>
    <w:rsid w:val="00D24A0A"/>
    <w:rsid w:val="00D25365"/>
    <w:rsid w:val="00D269DE"/>
    <w:rsid w:val="00D26CFF"/>
    <w:rsid w:val="00D27098"/>
    <w:rsid w:val="00D277EA"/>
    <w:rsid w:val="00D279E5"/>
    <w:rsid w:val="00D30105"/>
    <w:rsid w:val="00D30491"/>
    <w:rsid w:val="00D30E8D"/>
    <w:rsid w:val="00D317C0"/>
    <w:rsid w:val="00D31EAD"/>
    <w:rsid w:val="00D333AA"/>
    <w:rsid w:val="00D35149"/>
    <w:rsid w:val="00D35EF3"/>
    <w:rsid w:val="00D36DB9"/>
    <w:rsid w:val="00D405EC"/>
    <w:rsid w:val="00D40A6A"/>
    <w:rsid w:val="00D416B5"/>
    <w:rsid w:val="00D42212"/>
    <w:rsid w:val="00D42251"/>
    <w:rsid w:val="00D43432"/>
    <w:rsid w:val="00D43FBE"/>
    <w:rsid w:val="00D444F7"/>
    <w:rsid w:val="00D44CEE"/>
    <w:rsid w:val="00D4505F"/>
    <w:rsid w:val="00D452A4"/>
    <w:rsid w:val="00D47727"/>
    <w:rsid w:val="00D50308"/>
    <w:rsid w:val="00D50AA0"/>
    <w:rsid w:val="00D518F9"/>
    <w:rsid w:val="00D51999"/>
    <w:rsid w:val="00D51AC1"/>
    <w:rsid w:val="00D5245D"/>
    <w:rsid w:val="00D526DB"/>
    <w:rsid w:val="00D53C63"/>
    <w:rsid w:val="00D53F5C"/>
    <w:rsid w:val="00D5433E"/>
    <w:rsid w:val="00D556BF"/>
    <w:rsid w:val="00D6081F"/>
    <w:rsid w:val="00D61BC6"/>
    <w:rsid w:val="00D61D4F"/>
    <w:rsid w:val="00D63B21"/>
    <w:rsid w:val="00D63EF4"/>
    <w:rsid w:val="00D647E7"/>
    <w:rsid w:val="00D65228"/>
    <w:rsid w:val="00D72FA3"/>
    <w:rsid w:val="00D72FA8"/>
    <w:rsid w:val="00D73349"/>
    <w:rsid w:val="00D751B5"/>
    <w:rsid w:val="00D75352"/>
    <w:rsid w:val="00D76541"/>
    <w:rsid w:val="00D778FD"/>
    <w:rsid w:val="00D807BC"/>
    <w:rsid w:val="00D80CD1"/>
    <w:rsid w:val="00D828A6"/>
    <w:rsid w:val="00D83AAA"/>
    <w:rsid w:val="00D83C96"/>
    <w:rsid w:val="00D842E8"/>
    <w:rsid w:val="00D84DFA"/>
    <w:rsid w:val="00D8526D"/>
    <w:rsid w:val="00D8598A"/>
    <w:rsid w:val="00D87054"/>
    <w:rsid w:val="00D87B55"/>
    <w:rsid w:val="00D90563"/>
    <w:rsid w:val="00D915DC"/>
    <w:rsid w:val="00D91640"/>
    <w:rsid w:val="00D9279B"/>
    <w:rsid w:val="00D93019"/>
    <w:rsid w:val="00D93869"/>
    <w:rsid w:val="00D93A78"/>
    <w:rsid w:val="00D97674"/>
    <w:rsid w:val="00DA14A8"/>
    <w:rsid w:val="00DA3BAD"/>
    <w:rsid w:val="00DA4AEA"/>
    <w:rsid w:val="00DA63E1"/>
    <w:rsid w:val="00DA6D4D"/>
    <w:rsid w:val="00DB04A6"/>
    <w:rsid w:val="00DB0616"/>
    <w:rsid w:val="00DB1937"/>
    <w:rsid w:val="00DB1E57"/>
    <w:rsid w:val="00DB221F"/>
    <w:rsid w:val="00DB2B64"/>
    <w:rsid w:val="00DB43FB"/>
    <w:rsid w:val="00DB47FD"/>
    <w:rsid w:val="00DB5838"/>
    <w:rsid w:val="00DB64AD"/>
    <w:rsid w:val="00DB76DC"/>
    <w:rsid w:val="00DC1664"/>
    <w:rsid w:val="00DC21CC"/>
    <w:rsid w:val="00DC286A"/>
    <w:rsid w:val="00DC4132"/>
    <w:rsid w:val="00DC48B5"/>
    <w:rsid w:val="00DC52B9"/>
    <w:rsid w:val="00DC6324"/>
    <w:rsid w:val="00DC6689"/>
    <w:rsid w:val="00DC6E29"/>
    <w:rsid w:val="00DC7FC9"/>
    <w:rsid w:val="00DD49EE"/>
    <w:rsid w:val="00DD4E46"/>
    <w:rsid w:val="00DD614C"/>
    <w:rsid w:val="00DE1A21"/>
    <w:rsid w:val="00DE264D"/>
    <w:rsid w:val="00DF019A"/>
    <w:rsid w:val="00DF33DE"/>
    <w:rsid w:val="00DF5737"/>
    <w:rsid w:val="00DF65CB"/>
    <w:rsid w:val="00DF751B"/>
    <w:rsid w:val="00E002C6"/>
    <w:rsid w:val="00E019D0"/>
    <w:rsid w:val="00E02144"/>
    <w:rsid w:val="00E0283C"/>
    <w:rsid w:val="00E029D0"/>
    <w:rsid w:val="00E032E8"/>
    <w:rsid w:val="00E03972"/>
    <w:rsid w:val="00E03E78"/>
    <w:rsid w:val="00E04682"/>
    <w:rsid w:val="00E051E7"/>
    <w:rsid w:val="00E06C2F"/>
    <w:rsid w:val="00E06FB2"/>
    <w:rsid w:val="00E0767F"/>
    <w:rsid w:val="00E10453"/>
    <w:rsid w:val="00E1082A"/>
    <w:rsid w:val="00E12318"/>
    <w:rsid w:val="00E126F5"/>
    <w:rsid w:val="00E15584"/>
    <w:rsid w:val="00E15E0C"/>
    <w:rsid w:val="00E16715"/>
    <w:rsid w:val="00E21C82"/>
    <w:rsid w:val="00E22451"/>
    <w:rsid w:val="00E2337B"/>
    <w:rsid w:val="00E240E0"/>
    <w:rsid w:val="00E246B8"/>
    <w:rsid w:val="00E26A9F"/>
    <w:rsid w:val="00E27572"/>
    <w:rsid w:val="00E309EA"/>
    <w:rsid w:val="00E30E81"/>
    <w:rsid w:val="00E31489"/>
    <w:rsid w:val="00E32C3D"/>
    <w:rsid w:val="00E3446F"/>
    <w:rsid w:val="00E35180"/>
    <w:rsid w:val="00E357B6"/>
    <w:rsid w:val="00E35957"/>
    <w:rsid w:val="00E361BF"/>
    <w:rsid w:val="00E368D3"/>
    <w:rsid w:val="00E378D3"/>
    <w:rsid w:val="00E37C4C"/>
    <w:rsid w:val="00E40DA9"/>
    <w:rsid w:val="00E4245D"/>
    <w:rsid w:val="00E4268C"/>
    <w:rsid w:val="00E438DA"/>
    <w:rsid w:val="00E43A89"/>
    <w:rsid w:val="00E452B9"/>
    <w:rsid w:val="00E45888"/>
    <w:rsid w:val="00E473EF"/>
    <w:rsid w:val="00E4740A"/>
    <w:rsid w:val="00E47872"/>
    <w:rsid w:val="00E51C75"/>
    <w:rsid w:val="00E5241A"/>
    <w:rsid w:val="00E54868"/>
    <w:rsid w:val="00E54FFF"/>
    <w:rsid w:val="00E5567C"/>
    <w:rsid w:val="00E55AD5"/>
    <w:rsid w:val="00E56B40"/>
    <w:rsid w:val="00E6130D"/>
    <w:rsid w:val="00E6145D"/>
    <w:rsid w:val="00E61755"/>
    <w:rsid w:val="00E62238"/>
    <w:rsid w:val="00E622B5"/>
    <w:rsid w:val="00E6249A"/>
    <w:rsid w:val="00E62541"/>
    <w:rsid w:val="00E62C5C"/>
    <w:rsid w:val="00E63F10"/>
    <w:rsid w:val="00E66F12"/>
    <w:rsid w:val="00E67538"/>
    <w:rsid w:val="00E67544"/>
    <w:rsid w:val="00E70029"/>
    <w:rsid w:val="00E7004D"/>
    <w:rsid w:val="00E70995"/>
    <w:rsid w:val="00E71198"/>
    <w:rsid w:val="00E718D4"/>
    <w:rsid w:val="00E73B93"/>
    <w:rsid w:val="00E740D1"/>
    <w:rsid w:val="00E74913"/>
    <w:rsid w:val="00E7568A"/>
    <w:rsid w:val="00E76B80"/>
    <w:rsid w:val="00E8067A"/>
    <w:rsid w:val="00E8109D"/>
    <w:rsid w:val="00E81127"/>
    <w:rsid w:val="00E8123B"/>
    <w:rsid w:val="00E81858"/>
    <w:rsid w:val="00E82401"/>
    <w:rsid w:val="00E83CA2"/>
    <w:rsid w:val="00E84623"/>
    <w:rsid w:val="00E84693"/>
    <w:rsid w:val="00E8518E"/>
    <w:rsid w:val="00E85529"/>
    <w:rsid w:val="00E86765"/>
    <w:rsid w:val="00E878B4"/>
    <w:rsid w:val="00E9306D"/>
    <w:rsid w:val="00E93431"/>
    <w:rsid w:val="00E940DB"/>
    <w:rsid w:val="00E953F9"/>
    <w:rsid w:val="00E97202"/>
    <w:rsid w:val="00E97A81"/>
    <w:rsid w:val="00EA0079"/>
    <w:rsid w:val="00EA0864"/>
    <w:rsid w:val="00EA2002"/>
    <w:rsid w:val="00EA3870"/>
    <w:rsid w:val="00EA3A08"/>
    <w:rsid w:val="00EA5484"/>
    <w:rsid w:val="00EA54DF"/>
    <w:rsid w:val="00EA5E71"/>
    <w:rsid w:val="00EA6B5B"/>
    <w:rsid w:val="00EA7BF1"/>
    <w:rsid w:val="00EB09C6"/>
    <w:rsid w:val="00EB2333"/>
    <w:rsid w:val="00EB24D3"/>
    <w:rsid w:val="00EB24D5"/>
    <w:rsid w:val="00EB2B92"/>
    <w:rsid w:val="00EB4C67"/>
    <w:rsid w:val="00EB642A"/>
    <w:rsid w:val="00EB6949"/>
    <w:rsid w:val="00EB7011"/>
    <w:rsid w:val="00EC0751"/>
    <w:rsid w:val="00EC362F"/>
    <w:rsid w:val="00EC43D6"/>
    <w:rsid w:val="00EC58F2"/>
    <w:rsid w:val="00EC5DE3"/>
    <w:rsid w:val="00EC67FF"/>
    <w:rsid w:val="00EC69C0"/>
    <w:rsid w:val="00ED0D8F"/>
    <w:rsid w:val="00ED0E3C"/>
    <w:rsid w:val="00ED150D"/>
    <w:rsid w:val="00ED2101"/>
    <w:rsid w:val="00ED3D64"/>
    <w:rsid w:val="00ED4A49"/>
    <w:rsid w:val="00ED4B4B"/>
    <w:rsid w:val="00ED67A9"/>
    <w:rsid w:val="00ED6CF5"/>
    <w:rsid w:val="00EE032C"/>
    <w:rsid w:val="00EE0C4C"/>
    <w:rsid w:val="00EE139C"/>
    <w:rsid w:val="00EE1AD7"/>
    <w:rsid w:val="00EE29D2"/>
    <w:rsid w:val="00EE2E8B"/>
    <w:rsid w:val="00EE3266"/>
    <w:rsid w:val="00EE416C"/>
    <w:rsid w:val="00EF236A"/>
    <w:rsid w:val="00EF258C"/>
    <w:rsid w:val="00EF37DF"/>
    <w:rsid w:val="00F0016E"/>
    <w:rsid w:val="00F001B1"/>
    <w:rsid w:val="00F004BA"/>
    <w:rsid w:val="00F00F1D"/>
    <w:rsid w:val="00F035FF"/>
    <w:rsid w:val="00F03D40"/>
    <w:rsid w:val="00F03DBD"/>
    <w:rsid w:val="00F056F8"/>
    <w:rsid w:val="00F057D5"/>
    <w:rsid w:val="00F0586F"/>
    <w:rsid w:val="00F058DE"/>
    <w:rsid w:val="00F05940"/>
    <w:rsid w:val="00F071EF"/>
    <w:rsid w:val="00F10A9A"/>
    <w:rsid w:val="00F10AC8"/>
    <w:rsid w:val="00F113F4"/>
    <w:rsid w:val="00F1191C"/>
    <w:rsid w:val="00F1249B"/>
    <w:rsid w:val="00F13D48"/>
    <w:rsid w:val="00F15264"/>
    <w:rsid w:val="00F156A8"/>
    <w:rsid w:val="00F156EA"/>
    <w:rsid w:val="00F16081"/>
    <w:rsid w:val="00F161DB"/>
    <w:rsid w:val="00F16654"/>
    <w:rsid w:val="00F17A74"/>
    <w:rsid w:val="00F20671"/>
    <w:rsid w:val="00F20F16"/>
    <w:rsid w:val="00F2111F"/>
    <w:rsid w:val="00F2374F"/>
    <w:rsid w:val="00F251A4"/>
    <w:rsid w:val="00F25235"/>
    <w:rsid w:val="00F25648"/>
    <w:rsid w:val="00F271D9"/>
    <w:rsid w:val="00F275FB"/>
    <w:rsid w:val="00F27C8E"/>
    <w:rsid w:val="00F27CD1"/>
    <w:rsid w:val="00F30BDA"/>
    <w:rsid w:val="00F30E69"/>
    <w:rsid w:val="00F313ED"/>
    <w:rsid w:val="00F31474"/>
    <w:rsid w:val="00F35FD0"/>
    <w:rsid w:val="00F366EE"/>
    <w:rsid w:val="00F376C8"/>
    <w:rsid w:val="00F3797F"/>
    <w:rsid w:val="00F4242D"/>
    <w:rsid w:val="00F45F75"/>
    <w:rsid w:val="00F46BF6"/>
    <w:rsid w:val="00F46D39"/>
    <w:rsid w:val="00F50A21"/>
    <w:rsid w:val="00F51DB7"/>
    <w:rsid w:val="00F54478"/>
    <w:rsid w:val="00F5447E"/>
    <w:rsid w:val="00F55589"/>
    <w:rsid w:val="00F56D44"/>
    <w:rsid w:val="00F57321"/>
    <w:rsid w:val="00F60D53"/>
    <w:rsid w:val="00F60E95"/>
    <w:rsid w:val="00F61106"/>
    <w:rsid w:val="00F6285D"/>
    <w:rsid w:val="00F62FF7"/>
    <w:rsid w:val="00F63857"/>
    <w:rsid w:val="00F63F61"/>
    <w:rsid w:val="00F6557A"/>
    <w:rsid w:val="00F655DB"/>
    <w:rsid w:val="00F65BEF"/>
    <w:rsid w:val="00F6663F"/>
    <w:rsid w:val="00F67177"/>
    <w:rsid w:val="00F6717B"/>
    <w:rsid w:val="00F703C9"/>
    <w:rsid w:val="00F703CC"/>
    <w:rsid w:val="00F70839"/>
    <w:rsid w:val="00F721E4"/>
    <w:rsid w:val="00F7266D"/>
    <w:rsid w:val="00F72EF0"/>
    <w:rsid w:val="00F73008"/>
    <w:rsid w:val="00F73D7B"/>
    <w:rsid w:val="00F75981"/>
    <w:rsid w:val="00F7619C"/>
    <w:rsid w:val="00F76895"/>
    <w:rsid w:val="00F7795D"/>
    <w:rsid w:val="00F77A64"/>
    <w:rsid w:val="00F8068E"/>
    <w:rsid w:val="00F810FC"/>
    <w:rsid w:val="00F817B6"/>
    <w:rsid w:val="00F81BE8"/>
    <w:rsid w:val="00F82A4F"/>
    <w:rsid w:val="00F8387B"/>
    <w:rsid w:val="00F83AB8"/>
    <w:rsid w:val="00F83B3B"/>
    <w:rsid w:val="00F84491"/>
    <w:rsid w:val="00F855B1"/>
    <w:rsid w:val="00F86C4F"/>
    <w:rsid w:val="00F878D5"/>
    <w:rsid w:val="00F904A5"/>
    <w:rsid w:val="00F9133C"/>
    <w:rsid w:val="00F925A3"/>
    <w:rsid w:val="00F92AB1"/>
    <w:rsid w:val="00F92C7F"/>
    <w:rsid w:val="00F94D42"/>
    <w:rsid w:val="00F950F3"/>
    <w:rsid w:val="00F9575E"/>
    <w:rsid w:val="00F95C96"/>
    <w:rsid w:val="00F97B5D"/>
    <w:rsid w:val="00F97FF6"/>
    <w:rsid w:val="00FA0D9D"/>
    <w:rsid w:val="00FA14D7"/>
    <w:rsid w:val="00FA298C"/>
    <w:rsid w:val="00FA400E"/>
    <w:rsid w:val="00FA4F1F"/>
    <w:rsid w:val="00FA554E"/>
    <w:rsid w:val="00FA5745"/>
    <w:rsid w:val="00FA7AFB"/>
    <w:rsid w:val="00FA7DA2"/>
    <w:rsid w:val="00FB14E8"/>
    <w:rsid w:val="00FB1B3B"/>
    <w:rsid w:val="00FB1E67"/>
    <w:rsid w:val="00FB547A"/>
    <w:rsid w:val="00FB5724"/>
    <w:rsid w:val="00FB6452"/>
    <w:rsid w:val="00FB6490"/>
    <w:rsid w:val="00FB6B83"/>
    <w:rsid w:val="00FB7732"/>
    <w:rsid w:val="00FC131F"/>
    <w:rsid w:val="00FC3003"/>
    <w:rsid w:val="00FC31AD"/>
    <w:rsid w:val="00FC41DE"/>
    <w:rsid w:val="00FC5241"/>
    <w:rsid w:val="00FC6504"/>
    <w:rsid w:val="00FD1AE1"/>
    <w:rsid w:val="00FD32BA"/>
    <w:rsid w:val="00FD3A92"/>
    <w:rsid w:val="00FD60C5"/>
    <w:rsid w:val="00FD62FD"/>
    <w:rsid w:val="00FD69C6"/>
    <w:rsid w:val="00FE0373"/>
    <w:rsid w:val="00FE06B1"/>
    <w:rsid w:val="00FE1D30"/>
    <w:rsid w:val="00FE1D4D"/>
    <w:rsid w:val="00FE3318"/>
    <w:rsid w:val="00FE381F"/>
    <w:rsid w:val="00FE3E9B"/>
    <w:rsid w:val="00FE4252"/>
    <w:rsid w:val="00FE5BAF"/>
    <w:rsid w:val="00FE7F59"/>
    <w:rsid w:val="00FE7FE6"/>
    <w:rsid w:val="00FF2418"/>
    <w:rsid w:val="00FF2E30"/>
    <w:rsid w:val="00FF3C10"/>
    <w:rsid w:val="00FF3D62"/>
    <w:rsid w:val="00FF4804"/>
    <w:rsid w:val="00FF49BD"/>
    <w:rsid w:val="00FF53EA"/>
    <w:rsid w:val="00FF5A6E"/>
    <w:rsid w:val="00FF60F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E"/>
    <w:pPr>
      <w:spacing w:after="120" w:line="260" w:lineRule="exact"/>
    </w:pPr>
    <w:rPr>
      <w:rFonts w:ascii="Arial" w:hAnsi="Arial" w:cs="Arial"/>
      <w:sz w:val="20"/>
      <w:szCs w:val="20"/>
    </w:rPr>
  </w:style>
  <w:style w:type="paragraph" w:styleId="Heading2">
    <w:name w:val="heading 2"/>
    <w:basedOn w:val="Normal"/>
    <w:next w:val="Normal"/>
    <w:link w:val="Heading2Char"/>
    <w:uiPriority w:val="9"/>
    <w:qFormat/>
    <w:rsid w:val="000B462C"/>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0B462C"/>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3193"/>
    <w:pPr>
      <w:keepNext/>
      <w:keepLines/>
      <w:spacing w:line="280" w:lineRule="exact"/>
      <w:outlineLvl w:val="3"/>
    </w:pPr>
    <w:rPr>
      <w:rFonts w:eastAsiaTheme="majorEastAsia" w:cstheme="majorBidi"/>
      <w:b/>
      <w:iCs/>
      <w:color w:val="446E82"/>
      <w:sz w:val="22"/>
    </w:rPr>
  </w:style>
  <w:style w:type="paragraph" w:styleId="Heading5">
    <w:name w:val="heading 5"/>
    <w:basedOn w:val="Normal"/>
    <w:next w:val="Normal"/>
    <w:link w:val="Heading5Char"/>
    <w:uiPriority w:val="9"/>
    <w:unhideWhenUsed/>
    <w:qFormat/>
    <w:rsid w:val="001760BC"/>
    <w:pPr>
      <w:keepNext/>
      <w:keepLines/>
      <w:spacing w:line="280" w:lineRule="exact"/>
      <w:outlineLvl w:val="4"/>
    </w:pPr>
    <w:rPr>
      <w:rFonts w:eastAsiaTheme="majorEastAsia" w:cstheme="majorBid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0B462C"/>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0B462C"/>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semiHidden/>
    <w:rsid w:val="009B129E"/>
  </w:style>
  <w:style w:type="character" w:customStyle="1" w:styleId="HeaderChar1">
    <w:name w:val="Header Char1"/>
    <w:link w:val="Header"/>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0B462C"/>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0B462C"/>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BC3193"/>
    <w:rPr>
      <w:rFonts w:ascii="Arial" w:eastAsiaTheme="majorEastAsia" w:hAnsi="Arial" w:cstheme="majorBidi"/>
      <w:b/>
      <w:iCs/>
      <w:color w:val="446E82"/>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4024CE"/>
    <w:pPr>
      <w:ind w:left="720"/>
    </w:pPr>
    <w:rPr>
      <w:rFonts w:eastAsia="Calibri" w:cs="Times New Roman"/>
      <w:lang w:val="en-GB"/>
    </w:rPr>
  </w:style>
  <w:style w:type="paragraph" w:styleId="ListBullet4">
    <w:name w:val="List Bullet 4"/>
    <w:basedOn w:val="Normal"/>
    <w:uiPriority w:val="99"/>
    <w:unhideWhenUsed/>
    <w:rsid w:val="0060361C"/>
    <w:pPr>
      <w:numPr>
        <w:numId w:val="6"/>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1760BC"/>
    <w:rPr>
      <w:rFonts w:ascii="Arial" w:eastAsiaTheme="majorEastAsia" w:hAnsi="Arial" w:cstheme="majorBidi"/>
      <w:b/>
      <w:szCs w:val="20"/>
    </w:rPr>
  </w:style>
  <w:style w:type="paragraph" w:styleId="Revision">
    <w:name w:val="Revision"/>
    <w:hidden/>
    <w:uiPriority w:val="99"/>
    <w:semiHidden/>
    <w:rsid w:val="00334649"/>
    <w:pPr>
      <w:spacing w:after="0" w:line="240" w:lineRule="auto"/>
    </w:pPr>
    <w:rPr>
      <w:rFonts w:ascii="Arial" w:hAnsi="Arial" w:cs="Arial"/>
      <w:sz w:val="20"/>
      <w:szCs w:val="20"/>
    </w:rPr>
  </w:style>
  <w:style w:type="paragraph" w:customStyle="1" w:styleId="bodytext">
    <w:name w:val="bodytext"/>
    <w:basedOn w:val="Normal"/>
    <w:uiPriority w:val="99"/>
    <w:rsid w:val="00602C7F"/>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342796">
      <w:bodyDiv w:val="1"/>
      <w:marLeft w:val="0"/>
      <w:marRight w:val="0"/>
      <w:marTop w:val="0"/>
      <w:marBottom w:val="0"/>
      <w:divBdr>
        <w:top w:val="none" w:sz="0" w:space="0" w:color="auto"/>
        <w:left w:val="none" w:sz="0" w:space="0" w:color="auto"/>
        <w:bottom w:val="none" w:sz="0" w:space="0" w:color="auto"/>
        <w:right w:val="none" w:sz="0" w:space="0" w:color="auto"/>
      </w:divBdr>
    </w:div>
    <w:div w:id="770396723">
      <w:bodyDiv w:val="1"/>
      <w:marLeft w:val="0"/>
      <w:marRight w:val="0"/>
      <w:marTop w:val="0"/>
      <w:marBottom w:val="0"/>
      <w:divBdr>
        <w:top w:val="none" w:sz="0" w:space="0" w:color="auto"/>
        <w:left w:val="none" w:sz="0" w:space="0" w:color="auto"/>
        <w:bottom w:val="none" w:sz="0" w:space="0" w:color="auto"/>
        <w:right w:val="none" w:sz="0" w:space="0" w:color="auto"/>
      </w:divBdr>
    </w:div>
    <w:div w:id="943607459">
      <w:bodyDiv w:val="1"/>
      <w:marLeft w:val="0"/>
      <w:marRight w:val="0"/>
      <w:marTop w:val="0"/>
      <w:marBottom w:val="0"/>
      <w:divBdr>
        <w:top w:val="none" w:sz="0" w:space="0" w:color="auto"/>
        <w:left w:val="none" w:sz="0" w:space="0" w:color="auto"/>
        <w:bottom w:val="none" w:sz="0" w:space="0" w:color="auto"/>
        <w:right w:val="none" w:sz="0" w:space="0" w:color="auto"/>
      </w:divBdr>
    </w:div>
    <w:div w:id="1077170527">
      <w:bodyDiv w:val="1"/>
      <w:marLeft w:val="0"/>
      <w:marRight w:val="0"/>
      <w:marTop w:val="0"/>
      <w:marBottom w:val="0"/>
      <w:divBdr>
        <w:top w:val="none" w:sz="0" w:space="0" w:color="auto"/>
        <w:left w:val="none" w:sz="0" w:space="0" w:color="auto"/>
        <w:bottom w:val="none" w:sz="0" w:space="0" w:color="auto"/>
        <w:right w:val="none" w:sz="0" w:space="0" w:color="auto"/>
      </w:divBdr>
    </w:div>
    <w:div w:id="1155681535">
      <w:bodyDiv w:val="1"/>
      <w:marLeft w:val="0"/>
      <w:marRight w:val="0"/>
      <w:marTop w:val="0"/>
      <w:marBottom w:val="0"/>
      <w:divBdr>
        <w:top w:val="none" w:sz="0" w:space="0" w:color="auto"/>
        <w:left w:val="none" w:sz="0" w:space="0" w:color="auto"/>
        <w:bottom w:val="none" w:sz="0" w:space="0" w:color="auto"/>
        <w:right w:val="none" w:sz="0" w:space="0" w:color="auto"/>
      </w:divBdr>
    </w:div>
    <w:div w:id="1407150735">
      <w:bodyDiv w:val="1"/>
      <w:marLeft w:val="0"/>
      <w:marRight w:val="0"/>
      <w:marTop w:val="0"/>
      <w:marBottom w:val="0"/>
      <w:divBdr>
        <w:top w:val="none" w:sz="0" w:space="0" w:color="auto"/>
        <w:left w:val="none" w:sz="0" w:space="0" w:color="auto"/>
        <w:bottom w:val="none" w:sz="0" w:space="0" w:color="auto"/>
        <w:right w:val="none" w:sz="0" w:space="0" w:color="auto"/>
      </w:divBdr>
    </w:div>
    <w:div w:id="1738241568">
      <w:bodyDiv w:val="1"/>
      <w:marLeft w:val="0"/>
      <w:marRight w:val="0"/>
      <w:marTop w:val="0"/>
      <w:marBottom w:val="0"/>
      <w:divBdr>
        <w:top w:val="none" w:sz="0" w:space="0" w:color="auto"/>
        <w:left w:val="none" w:sz="0" w:space="0" w:color="auto"/>
        <w:bottom w:val="none" w:sz="0" w:space="0" w:color="auto"/>
        <w:right w:val="none" w:sz="0" w:space="0" w:color="auto"/>
      </w:divBdr>
    </w:div>
    <w:div w:id="1990480025">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ata.qld.gov.au/dataset/state-school-attendance-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1B99-AB2F-4D4F-B945-3910AA629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3946</Words>
  <Characters>22498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2020-09-25T02:24:00Z</cp:lastPrinted>
  <dcterms:created xsi:type="dcterms:W3CDTF">2021-02-15T05:22:00Z</dcterms:created>
  <dcterms:modified xsi:type="dcterms:W3CDTF">2021-02-15T23:40:00Z</dcterms:modified>
</cp:coreProperties>
</file>